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17424">
      <w:pPr>
        <w:jc w:val="left"/>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合同编号：</w:t>
      </w:r>
    </w:p>
    <w:p w14:paraId="278DB352">
      <w:pPr>
        <w:rPr>
          <w:rFonts w:asciiTheme="minorEastAsia" w:hAnsiTheme="minorEastAsia" w:eastAsiaTheme="minorEastAsia"/>
          <w:b/>
          <w:sz w:val="44"/>
          <w:szCs w:val="44"/>
        </w:rPr>
      </w:pPr>
    </w:p>
    <w:p w14:paraId="178752FB">
      <w:pPr>
        <w:jc w:val="center"/>
        <w:rPr>
          <w:rFonts w:ascii="黑体" w:hAnsi="黑体" w:eastAsia="黑体"/>
          <w:sz w:val="72"/>
          <w:szCs w:val="72"/>
        </w:rPr>
      </w:pPr>
      <w:r>
        <w:rPr>
          <w:rFonts w:hint="eastAsia" w:ascii="黑体" w:hAnsi="黑体" w:eastAsia="黑体"/>
          <w:sz w:val="72"/>
          <w:szCs w:val="72"/>
        </w:rPr>
        <w:t>内蒙古自治区人民医院</w:t>
      </w:r>
    </w:p>
    <w:p w14:paraId="34DB624E">
      <w:pPr>
        <w:jc w:val="center"/>
        <w:rPr>
          <w:rFonts w:ascii="黑体" w:hAnsi="黑体" w:eastAsia="黑体"/>
          <w:sz w:val="72"/>
          <w:szCs w:val="72"/>
        </w:rPr>
      </w:pPr>
      <w:r>
        <w:rPr>
          <w:rFonts w:hint="eastAsia" w:ascii="黑体" w:hAnsi="黑体" w:eastAsia="黑体"/>
          <w:sz w:val="72"/>
          <w:szCs w:val="72"/>
        </w:rPr>
        <w:t>医疗设备购销合同</w:t>
      </w:r>
    </w:p>
    <w:p w14:paraId="247C4168">
      <w:pPr>
        <w:jc w:val="left"/>
        <w:rPr>
          <w:rFonts w:asciiTheme="minorEastAsia" w:hAnsiTheme="minorEastAsia" w:eastAsiaTheme="minorEastAsia"/>
          <w:bCs/>
          <w:sz w:val="28"/>
          <w:szCs w:val="28"/>
        </w:rPr>
      </w:pPr>
    </w:p>
    <w:p w14:paraId="16DB5C5F">
      <w:pPr>
        <w:jc w:val="left"/>
        <w:rPr>
          <w:rFonts w:asciiTheme="minorEastAsia" w:hAnsiTheme="minorEastAsia" w:eastAsiaTheme="minorEastAsia"/>
          <w:bCs/>
          <w:sz w:val="28"/>
          <w:szCs w:val="28"/>
        </w:rPr>
      </w:pPr>
    </w:p>
    <w:p w14:paraId="61DA4DE5">
      <w:pPr>
        <w:jc w:val="left"/>
        <w:rPr>
          <w:rFonts w:asciiTheme="minorEastAsia" w:hAnsiTheme="minorEastAsia" w:eastAsiaTheme="minorEastAsia"/>
          <w:bCs/>
          <w:sz w:val="28"/>
          <w:szCs w:val="28"/>
        </w:rPr>
      </w:pPr>
    </w:p>
    <w:p w14:paraId="3C6BF760">
      <w:pPr>
        <w:jc w:val="left"/>
        <w:rPr>
          <w:rFonts w:asciiTheme="minorEastAsia" w:hAnsiTheme="minorEastAsia" w:eastAsiaTheme="minorEastAsia"/>
          <w:bCs/>
          <w:sz w:val="28"/>
          <w:szCs w:val="28"/>
        </w:rPr>
      </w:pPr>
    </w:p>
    <w:p w14:paraId="1CA52FC3">
      <w:pPr>
        <w:ind w:firstLine="700" w:firstLineChars="250"/>
        <w:jc w:val="left"/>
        <w:rPr>
          <w:rFonts w:hint="default"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项目名称：</w:t>
      </w:r>
    </w:p>
    <w:p w14:paraId="4D0B7A51">
      <w:pPr>
        <w:ind w:firstLine="700" w:firstLineChars="250"/>
        <w:jc w:val="left"/>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项目编号：</w:t>
      </w:r>
    </w:p>
    <w:p w14:paraId="1B579366">
      <w:pPr>
        <w:ind w:firstLine="700" w:firstLineChars="250"/>
        <w:jc w:val="left"/>
        <w:rPr>
          <w:rFonts w:asciiTheme="minorEastAsia" w:hAnsiTheme="minorEastAsia" w:eastAsiaTheme="minorEastAsia"/>
          <w:bCs/>
          <w:i/>
          <w:iCs/>
          <w:sz w:val="28"/>
          <w:szCs w:val="28"/>
        </w:rPr>
      </w:pPr>
      <w:r>
        <w:rPr>
          <w:rFonts w:hint="eastAsia" w:asciiTheme="minorEastAsia" w:hAnsiTheme="minorEastAsia" w:eastAsiaTheme="minorEastAsia"/>
          <w:bCs/>
          <w:sz w:val="28"/>
          <w:szCs w:val="28"/>
        </w:rPr>
        <w:t>招标编号：</w:t>
      </w:r>
    </w:p>
    <w:p w14:paraId="214B0B48">
      <w:pPr>
        <w:ind w:firstLine="700" w:firstLineChars="250"/>
        <w:jc w:val="left"/>
        <w:rPr>
          <w:rFonts w:asciiTheme="minorEastAsia" w:hAnsiTheme="minorEastAsia" w:eastAsiaTheme="minorEastAsia"/>
          <w:bCs/>
          <w:sz w:val="28"/>
          <w:szCs w:val="28"/>
        </w:rPr>
      </w:pPr>
      <w:r>
        <w:rPr>
          <w:rFonts w:hint="eastAsia" w:asciiTheme="minorEastAsia" w:hAnsiTheme="minorEastAsia" w:eastAsiaTheme="minorEastAsia"/>
          <w:sz w:val="28"/>
          <w:szCs w:val="28"/>
        </w:rPr>
        <w:t>政府采购项目批准（备案）文号</w:t>
      </w:r>
      <w:r>
        <w:rPr>
          <w:rFonts w:hint="eastAsia" w:asciiTheme="minorEastAsia" w:hAnsiTheme="minorEastAsia" w:eastAsiaTheme="minorEastAsia"/>
          <w:bCs/>
          <w:sz w:val="28"/>
          <w:szCs w:val="28"/>
        </w:rPr>
        <w:t>：项目流水号[202</w:t>
      </w:r>
      <w:r>
        <w:rPr>
          <w:rFonts w:hint="eastAsia" w:asciiTheme="minorEastAsia" w:hAnsiTheme="minorEastAsia" w:eastAsiaTheme="minorEastAsia"/>
          <w:bCs/>
          <w:sz w:val="28"/>
          <w:szCs w:val="28"/>
          <w:lang w:val="en-US" w:eastAsia="zh-CN"/>
        </w:rPr>
        <w:t>5</w:t>
      </w:r>
      <w:r>
        <w:rPr>
          <w:rFonts w:hint="eastAsia" w:asciiTheme="minorEastAsia" w:hAnsiTheme="minorEastAsia" w:eastAsiaTheme="minorEastAsia"/>
          <w:bCs/>
          <w:sz w:val="28"/>
          <w:szCs w:val="28"/>
        </w:rPr>
        <w:t>]</w:t>
      </w:r>
      <w:r>
        <w:rPr>
          <w:rFonts w:hint="eastAsia" w:asciiTheme="minorEastAsia" w:hAnsiTheme="minorEastAsia" w:eastAsiaTheme="minorEastAsia"/>
          <w:bCs/>
          <w:sz w:val="28"/>
          <w:szCs w:val="28"/>
          <w:lang w:val="en-US" w:eastAsia="zh-CN"/>
        </w:rPr>
        <w:t xml:space="preserve">     </w:t>
      </w:r>
      <w:r>
        <w:rPr>
          <w:rFonts w:hint="eastAsia" w:asciiTheme="minorEastAsia" w:hAnsiTheme="minorEastAsia" w:eastAsiaTheme="minorEastAsia"/>
          <w:bCs/>
          <w:sz w:val="28"/>
          <w:szCs w:val="28"/>
        </w:rPr>
        <w:t>号</w:t>
      </w:r>
    </w:p>
    <w:p w14:paraId="176DDB2B">
      <w:pPr>
        <w:ind w:firstLine="700" w:firstLineChars="250"/>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甲方（买方）：内蒙古自治区人民医院</w:t>
      </w:r>
    </w:p>
    <w:p w14:paraId="1465B0F8">
      <w:pPr>
        <w:ind w:firstLine="700" w:firstLineChars="250"/>
        <w:jc w:val="left"/>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乙方（卖方）：</w:t>
      </w:r>
    </w:p>
    <w:p w14:paraId="4A8BDF82">
      <w:pPr>
        <w:jc w:val="left"/>
        <w:rPr>
          <w:rFonts w:asciiTheme="minorEastAsia" w:hAnsiTheme="minorEastAsia" w:eastAsiaTheme="minorEastAsia"/>
          <w:bCs/>
          <w:sz w:val="28"/>
          <w:szCs w:val="28"/>
        </w:rPr>
      </w:pPr>
    </w:p>
    <w:p w14:paraId="5DBF26A9">
      <w:pPr>
        <w:jc w:val="left"/>
        <w:rPr>
          <w:rFonts w:asciiTheme="minorEastAsia" w:hAnsiTheme="minorEastAsia" w:eastAsiaTheme="minorEastAsia"/>
          <w:bCs/>
          <w:sz w:val="28"/>
          <w:szCs w:val="28"/>
        </w:rPr>
      </w:pPr>
    </w:p>
    <w:p w14:paraId="1A5DA3DA">
      <w:pPr>
        <w:jc w:val="left"/>
        <w:rPr>
          <w:rFonts w:asciiTheme="minorEastAsia" w:hAnsiTheme="minorEastAsia" w:eastAsiaTheme="minorEastAsia"/>
          <w:bCs/>
          <w:sz w:val="28"/>
          <w:szCs w:val="28"/>
        </w:rPr>
      </w:pPr>
    </w:p>
    <w:p w14:paraId="4D8522C0">
      <w:pPr>
        <w:widowControl/>
        <w:jc w:val="center"/>
        <w:rPr>
          <w:rFonts w:asciiTheme="minorEastAsia" w:hAnsiTheme="minorEastAsia" w:eastAsiaTheme="minorEastAsia"/>
          <w:bCs/>
          <w:sz w:val="28"/>
          <w:szCs w:val="28"/>
        </w:rPr>
      </w:pPr>
    </w:p>
    <w:p w14:paraId="5E4E83B2">
      <w:pPr>
        <w:widowControl/>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合同签订日期：    年   月   日</w:t>
      </w:r>
    </w:p>
    <w:p w14:paraId="618619F1">
      <w:pPr>
        <w:widowControl/>
        <w:jc w:val="center"/>
        <w:rPr>
          <w:rFonts w:asciiTheme="minorEastAsia" w:hAnsiTheme="minorEastAsia" w:eastAsiaTheme="minorEastAsia"/>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247" w:right="1418" w:bottom="1247" w:left="1418" w:header="851" w:footer="567" w:gutter="0"/>
          <w:pgNumType w:start="1"/>
          <w:cols w:space="425" w:num="1"/>
          <w:titlePg/>
          <w:docGrid w:type="lines" w:linePitch="312" w:charSpace="0"/>
        </w:sectPr>
      </w:pPr>
      <w:r>
        <w:rPr>
          <w:rFonts w:hint="eastAsia" w:asciiTheme="minorEastAsia" w:hAnsiTheme="minorEastAsia" w:eastAsiaTheme="minorEastAsia"/>
          <w:sz w:val="28"/>
          <w:szCs w:val="28"/>
        </w:rPr>
        <w:t>合同签订地：内蒙古自治区人民医院</w:t>
      </w:r>
    </w:p>
    <w:p w14:paraId="07E0DE1F">
      <w:pPr>
        <w:spacing w:line="460" w:lineRule="exact"/>
        <w:jc w:val="left"/>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甲方（买方）：内蒙古自治区人民医院</w:t>
      </w:r>
    </w:p>
    <w:p w14:paraId="17FA8732">
      <w:pPr>
        <w:spacing w:line="460" w:lineRule="exact"/>
        <w:jc w:val="left"/>
        <w:rPr>
          <w:rFonts w:hint="eastAsia"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rPr>
        <w:t>乙方（卖方）：</w:t>
      </w:r>
    </w:p>
    <w:p w14:paraId="4E1356F0">
      <w:pPr>
        <w:widowControl/>
        <w:spacing w:line="460" w:lineRule="exact"/>
        <w:jc w:val="left"/>
        <w:rPr>
          <w:b/>
          <w:sz w:val="24"/>
          <w:szCs w:val="24"/>
        </w:rPr>
      </w:pPr>
      <w:r>
        <w:rPr>
          <w:rFonts w:hint="eastAsia" w:asciiTheme="minorEastAsia" w:hAnsiTheme="minorEastAsia" w:eastAsiaTheme="minorEastAsia"/>
          <w:b/>
          <w:bCs/>
          <w:sz w:val="24"/>
          <w:szCs w:val="24"/>
        </w:rPr>
        <w:t>交验货地点：内蒙古自治区人民医院</w:t>
      </w:r>
      <w:r>
        <w:rPr>
          <w:rFonts w:hint="eastAsia"/>
          <w:b/>
          <w:sz w:val="24"/>
          <w:szCs w:val="24"/>
        </w:rPr>
        <w:t xml:space="preserve">    </w:t>
      </w:r>
    </w:p>
    <w:p w14:paraId="22D73E83">
      <w:pPr>
        <w:pStyle w:val="5"/>
        <w:spacing w:before="156" w:beforeLines="50" w:line="360" w:lineRule="auto"/>
        <w:ind w:firstLine="480" w:firstLineChars="200"/>
        <w:rPr>
          <w:rFonts w:ascii="Calibri" w:hAnsi="Calibri"/>
          <w:sz w:val="24"/>
          <w:szCs w:val="24"/>
        </w:rPr>
      </w:pPr>
      <w:r>
        <w:rPr>
          <w:rFonts w:hint="eastAsia" w:ascii="Calibri" w:hAnsi="Calibri"/>
          <w:sz w:val="24"/>
          <w:szCs w:val="24"/>
        </w:rPr>
        <w:t>本项目根据《中华人民共和国民法典》、《中华人民共和国政府采购法》等相关法律法规的规定，遵循平等、自愿、公平和诚信原则，</w:t>
      </w:r>
      <w:r>
        <w:rPr>
          <w:rFonts w:hint="eastAsia" w:ascii="Calibri" w:hAnsi="Calibri"/>
          <w:sz w:val="24"/>
          <w:szCs w:val="24"/>
          <w:lang w:val="en-US" w:eastAsia="zh-CN"/>
        </w:rPr>
        <w:t>委托</w:t>
      </w:r>
      <w:r>
        <w:rPr>
          <w:rFonts w:hint="eastAsia" w:ascii="Calibri" w:hAnsi="Calibri"/>
          <w:sz w:val="24"/>
          <w:szCs w:val="24"/>
        </w:rPr>
        <w:t>以中</w:t>
      </w:r>
      <w:r>
        <w:rPr>
          <w:rFonts w:hint="eastAsia" w:ascii="Calibri" w:hAnsi="Calibri"/>
          <w:sz w:val="24"/>
          <w:szCs w:val="24"/>
          <w:lang w:val="en-US" w:eastAsia="zh-CN"/>
        </w:rPr>
        <w:t xml:space="preserve">   </w:t>
      </w:r>
      <w:r>
        <w:rPr>
          <w:rFonts w:hint="eastAsia" w:ascii="Calibri" w:hAnsi="Calibri"/>
          <w:sz w:val="24"/>
          <w:szCs w:val="24"/>
        </w:rPr>
        <w:t>方式</w:t>
      </w:r>
      <w:r>
        <w:rPr>
          <w:rFonts w:hint="eastAsia" w:ascii="Calibri" w:hAnsi="Calibri"/>
          <w:sz w:val="24"/>
          <w:szCs w:val="24"/>
          <w:lang w:val="en-US" w:eastAsia="zh-CN"/>
        </w:rPr>
        <w:t xml:space="preserve"> </w:t>
      </w:r>
      <w:r>
        <w:rPr>
          <w:rFonts w:hint="eastAsia" w:ascii="Calibri" w:hAnsi="Calibri"/>
          <w:sz w:val="24"/>
          <w:szCs w:val="24"/>
        </w:rPr>
        <w:t>进行了采购。经甲、乙双方协商一致，签订本合同。</w:t>
      </w:r>
    </w:p>
    <w:p w14:paraId="56377176">
      <w:pPr>
        <w:spacing w:line="500" w:lineRule="exact"/>
        <w:ind w:firstLine="482" w:firstLineChars="200"/>
        <w:rPr>
          <w:b/>
          <w:sz w:val="24"/>
          <w:szCs w:val="24"/>
        </w:rPr>
      </w:pPr>
      <w:r>
        <w:rPr>
          <w:rFonts w:hint="eastAsia"/>
          <w:b/>
          <w:sz w:val="24"/>
          <w:szCs w:val="24"/>
        </w:rPr>
        <w:t>第一条</w:t>
      </w:r>
      <w:r>
        <w:rPr>
          <w:rFonts w:hint="eastAsia" w:asciiTheme="minorEastAsia" w:hAnsiTheme="minorEastAsia" w:eastAsiaTheme="minorEastAsia" w:cstheme="minorEastAsia"/>
          <w:b/>
          <w:sz w:val="24"/>
          <w:szCs w:val="24"/>
        </w:rPr>
        <w:t xml:space="preserve">  </w:t>
      </w:r>
      <w:r>
        <w:rPr>
          <w:rFonts w:hint="eastAsia"/>
          <w:sz w:val="24"/>
          <w:szCs w:val="24"/>
        </w:rPr>
        <w:t>产品名称、数量、金额</w:t>
      </w:r>
    </w:p>
    <w:tbl>
      <w:tblPr>
        <w:tblStyle w:val="8"/>
        <w:tblW w:w="9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219"/>
        <w:gridCol w:w="1105"/>
        <w:gridCol w:w="1928"/>
        <w:gridCol w:w="851"/>
        <w:gridCol w:w="1276"/>
        <w:gridCol w:w="1275"/>
      </w:tblGrid>
      <w:tr w14:paraId="55AE7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30" w:type="dxa"/>
            <w:vAlign w:val="center"/>
          </w:tcPr>
          <w:p w14:paraId="0167BF34">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产品名称</w:t>
            </w:r>
          </w:p>
        </w:tc>
        <w:tc>
          <w:tcPr>
            <w:tcW w:w="1219" w:type="dxa"/>
            <w:vAlign w:val="center"/>
          </w:tcPr>
          <w:p w14:paraId="041EE2A5">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规格</w:t>
            </w:r>
          </w:p>
          <w:p w14:paraId="2FE982A0">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型号</w:t>
            </w:r>
          </w:p>
        </w:tc>
        <w:tc>
          <w:tcPr>
            <w:tcW w:w="1105" w:type="dxa"/>
            <w:vAlign w:val="center"/>
          </w:tcPr>
          <w:p w14:paraId="2C44F951">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设备配置</w:t>
            </w:r>
          </w:p>
        </w:tc>
        <w:tc>
          <w:tcPr>
            <w:tcW w:w="1928" w:type="dxa"/>
            <w:vAlign w:val="center"/>
          </w:tcPr>
          <w:p w14:paraId="6D1D7406">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生产厂家</w:t>
            </w:r>
          </w:p>
        </w:tc>
        <w:tc>
          <w:tcPr>
            <w:tcW w:w="851" w:type="dxa"/>
            <w:vAlign w:val="center"/>
          </w:tcPr>
          <w:p w14:paraId="1DF8F957">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数量、单位</w:t>
            </w:r>
          </w:p>
        </w:tc>
        <w:tc>
          <w:tcPr>
            <w:tcW w:w="1276" w:type="dxa"/>
            <w:vAlign w:val="center"/>
          </w:tcPr>
          <w:p w14:paraId="649463A0">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成交单价</w:t>
            </w:r>
          </w:p>
          <w:p w14:paraId="2BBEEE55">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w:t>
            </w:r>
            <w:r>
              <w:rPr>
                <w:rFonts w:hint="eastAsia" w:cs="宋体" w:asciiTheme="minorEastAsia" w:hAnsiTheme="minorEastAsia" w:eastAsiaTheme="minorEastAsia"/>
                <w:szCs w:val="21"/>
                <w:lang w:val="en-US" w:eastAsia="zh-CN"/>
              </w:rPr>
              <w:t>万</w:t>
            </w:r>
            <w:r>
              <w:rPr>
                <w:rFonts w:hint="eastAsia" w:cs="宋体" w:asciiTheme="minorEastAsia" w:hAnsiTheme="minorEastAsia" w:eastAsiaTheme="minorEastAsia"/>
                <w:szCs w:val="21"/>
              </w:rPr>
              <w:t>元)</w:t>
            </w:r>
          </w:p>
        </w:tc>
        <w:tc>
          <w:tcPr>
            <w:tcW w:w="1275" w:type="dxa"/>
            <w:vAlign w:val="center"/>
          </w:tcPr>
          <w:p w14:paraId="31C10A22">
            <w:pPr>
              <w:spacing w:line="500" w:lineRule="exact"/>
              <w:rPr>
                <w:rFonts w:hint="eastAsia" w:cs="宋体" w:asciiTheme="minorEastAsia" w:hAnsiTheme="minorEastAsia" w:eastAsiaTheme="minorEastAsia"/>
                <w:szCs w:val="21"/>
              </w:rPr>
            </w:pPr>
            <w:r>
              <w:rPr>
                <w:rFonts w:hint="eastAsia" w:cs="宋体" w:asciiTheme="minorEastAsia" w:hAnsiTheme="minorEastAsia" w:eastAsiaTheme="minorEastAsia"/>
                <w:szCs w:val="21"/>
              </w:rPr>
              <w:t>成交总价(</w:t>
            </w:r>
            <w:r>
              <w:rPr>
                <w:rFonts w:hint="eastAsia" w:cs="宋体" w:asciiTheme="minorEastAsia" w:hAnsiTheme="minorEastAsia" w:eastAsiaTheme="minorEastAsia"/>
                <w:szCs w:val="21"/>
                <w:lang w:val="en-US" w:eastAsia="zh-CN"/>
              </w:rPr>
              <w:t>万</w:t>
            </w:r>
            <w:r>
              <w:rPr>
                <w:rFonts w:hint="eastAsia" w:cs="宋体" w:asciiTheme="minorEastAsia" w:hAnsiTheme="minorEastAsia" w:eastAsiaTheme="minorEastAsia"/>
                <w:szCs w:val="21"/>
              </w:rPr>
              <w:t>元)</w:t>
            </w:r>
          </w:p>
        </w:tc>
      </w:tr>
      <w:tr w14:paraId="30B8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30" w:type="dxa"/>
            <w:vAlign w:val="center"/>
          </w:tcPr>
          <w:p w14:paraId="21789B84">
            <w:pPr>
              <w:spacing w:line="400" w:lineRule="exact"/>
              <w:jc w:val="center"/>
              <w:rPr>
                <w:rFonts w:hint="eastAsia" w:asciiTheme="minorEastAsia" w:hAnsiTheme="minorEastAsia" w:eastAsiaTheme="minorEastAsia" w:cstheme="minorEastAsia"/>
                <w:szCs w:val="21"/>
              </w:rPr>
            </w:pPr>
          </w:p>
        </w:tc>
        <w:tc>
          <w:tcPr>
            <w:tcW w:w="1219" w:type="dxa"/>
            <w:vAlign w:val="center"/>
          </w:tcPr>
          <w:p w14:paraId="2AF2D346">
            <w:pPr>
              <w:widowControl/>
              <w:jc w:val="center"/>
              <w:textAlignment w:val="center"/>
              <w:rPr>
                <w:rFonts w:hint="eastAsia" w:asciiTheme="minorEastAsia" w:hAnsiTheme="minorEastAsia" w:eastAsiaTheme="minorEastAsia" w:cstheme="minorEastAsia"/>
                <w:szCs w:val="21"/>
                <w:lang w:eastAsia="zh-CN"/>
              </w:rPr>
            </w:pPr>
          </w:p>
        </w:tc>
        <w:tc>
          <w:tcPr>
            <w:tcW w:w="1105" w:type="dxa"/>
            <w:vAlign w:val="center"/>
          </w:tcPr>
          <w:p w14:paraId="409FE05F">
            <w:pPr>
              <w:widowControl/>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详见附件</w:t>
            </w:r>
          </w:p>
        </w:tc>
        <w:tc>
          <w:tcPr>
            <w:tcW w:w="1928" w:type="dxa"/>
            <w:vAlign w:val="center"/>
          </w:tcPr>
          <w:p w14:paraId="506F8257">
            <w:pPr>
              <w:widowControl/>
              <w:spacing w:line="400" w:lineRule="exact"/>
              <w:jc w:val="center"/>
              <w:textAlignment w:val="center"/>
              <w:rPr>
                <w:rFonts w:hint="eastAsia" w:asciiTheme="minorEastAsia" w:hAnsiTheme="minorEastAsia" w:eastAsiaTheme="minorEastAsia" w:cstheme="minorEastAsia"/>
                <w:szCs w:val="21"/>
                <w:lang w:eastAsia="zh-CN"/>
              </w:rPr>
            </w:pPr>
          </w:p>
        </w:tc>
        <w:tc>
          <w:tcPr>
            <w:tcW w:w="851" w:type="dxa"/>
            <w:vAlign w:val="center"/>
          </w:tcPr>
          <w:p w14:paraId="60E817AC">
            <w:pPr>
              <w:spacing w:line="400" w:lineRule="exact"/>
              <w:jc w:val="center"/>
              <w:rPr>
                <w:rFonts w:hint="eastAsia" w:asciiTheme="minorEastAsia" w:hAnsiTheme="minorEastAsia" w:eastAsiaTheme="minorEastAsia" w:cstheme="minorEastAsia"/>
                <w:szCs w:val="21"/>
              </w:rPr>
            </w:pPr>
            <w:r>
              <w:rPr>
                <w:rFonts w:hint="eastAsia" w:cs="Courier New" w:asciiTheme="minorEastAsia" w:hAnsiTheme="minorEastAsia" w:eastAsiaTheme="minorEastAsia"/>
                <w:sz w:val="20"/>
                <w:szCs w:val="20"/>
              </w:rPr>
              <w:t>1</w:t>
            </w:r>
            <w:r>
              <w:rPr>
                <w:rFonts w:cs="Courier New" w:asciiTheme="minorEastAsia" w:hAnsiTheme="minorEastAsia" w:eastAsiaTheme="minorEastAsia"/>
                <w:sz w:val="20"/>
                <w:szCs w:val="20"/>
              </w:rPr>
              <w:t>套</w:t>
            </w:r>
          </w:p>
        </w:tc>
        <w:tc>
          <w:tcPr>
            <w:tcW w:w="1276" w:type="dxa"/>
            <w:vAlign w:val="center"/>
          </w:tcPr>
          <w:p w14:paraId="42E11A0B">
            <w:pPr>
              <w:spacing w:line="400" w:lineRule="exact"/>
              <w:jc w:val="center"/>
              <w:rPr>
                <w:rFonts w:hint="eastAsia" w:asciiTheme="minorEastAsia" w:hAnsiTheme="minorEastAsia" w:eastAsiaTheme="minorEastAsia" w:cstheme="minorEastAsia"/>
                <w:szCs w:val="21"/>
              </w:rPr>
            </w:pPr>
          </w:p>
        </w:tc>
        <w:tc>
          <w:tcPr>
            <w:tcW w:w="1275" w:type="dxa"/>
            <w:vAlign w:val="center"/>
          </w:tcPr>
          <w:p w14:paraId="50B0FBCD">
            <w:pPr>
              <w:spacing w:line="400" w:lineRule="exact"/>
              <w:jc w:val="center"/>
              <w:rPr>
                <w:rFonts w:hint="eastAsia" w:asciiTheme="minorEastAsia" w:hAnsiTheme="minorEastAsia" w:eastAsiaTheme="minorEastAsia" w:cstheme="minorEastAsia"/>
                <w:szCs w:val="21"/>
              </w:rPr>
            </w:pPr>
          </w:p>
        </w:tc>
      </w:tr>
      <w:tr w14:paraId="367D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84" w:type="dxa"/>
            <w:gridSpan w:val="7"/>
            <w:vAlign w:val="center"/>
          </w:tcPr>
          <w:p w14:paraId="1E68D343">
            <w:pPr>
              <w:spacing w:line="500" w:lineRule="exact"/>
              <w:jc w:val="center"/>
              <w:rPr>
                <w:rFonts w:hint="eastAsia" w:cs="宋体" w:asciiTheme="minorEastAsia" w:hAnsiTheme="minorEastAsia" w:eastAsiaTheme="minorEastAsia"/>
                <w:szCs w:val="21"/>
              </w:rPr>
            </w:pPr>
            <w:r>
              <w:rPr>
                <w:rFonts w:hint="eastAsia" w:cs="宋体" w:asciiTheme="minorEastAsia" w:hAnsiTheme="minorEastAsia" w:eastAsiaTheme="minorEastAsia"/>
                <w:szCs w:val="21"/>
              </w:rPr>
              <w:t>合计金额：（大写）元整人民币 （小写）¥：元</w:t>
            </w:r>
          </w:p>
        </w:tc>
      </w:tr>
    </w:tbl>
    <w:p w14:paraId="56C87E81">
      <w:pPr>
        <w:spacing w:line="500" w:lineRule="exact"/>
        <w:ind w:firstLine="482" w:firstLineChars="200"/>
        <w:rPr>
          <w:bCs/>
          <w:sz w:val="24"/>
          <w:szCs w:val="24"/>
        </w:rPr>
      </w:pPr>
      <w:r>
        <w:rPr>
          <w:rFonts w:hint="eastAsia"/>
          <w:b/>
          <w:sz w:val="24"/>
          <w:szCs w:val="24"/>
        </w:rPr>
        <w:t xml:space="preserve">第二条  </w:t>
      </w:r>
      <w:r>
        <w:rPr>
          <w:rFonts w:hint="eastAsia"/>
          <w:sz w:val="24"/>
          <w:szCs w:val="24"/>
        </w:rPr>
        <w:t>价格条款：CIP内蒙古自治区人民医院；</w:t>
      </w:r>
      <w:r>
        <w:rPr>
          <w:rFonts w:hint="eastAsia"/>
          <w:bCs/>
          <w:sz w:val="24"/>
          <w:szCs w:val="24"/>
        </w:rPr>
        <w:t>乙方负责将设备运至甲方医院的运输及保险费用；设备运至甲方后的吊装、卸货及将设备运至安装地点的费用均由乙方承担；设备销售价格不得高于其他医院和其他购货方，否则本合同按最低价执行。</w:t>
      </w:r>
    </w:p>
    <w:p w14:paraId="5A59C190">
      <w:pPr>
        <w:spacing w:line="500" w:lineRule="exact"/>
        <w:ind w:firstLine="482" w:firstLineChars="200"/>
        <w:rPr>
          <w:bCs/>
          <w:sz w:val="24"/>
          <w:szCs w:val="24"/>
        </w:rPr>
      </w:pPr>
      <w:r>
        <w:rPr>
          <w:rFonts w:hint="eastAsia"/>
          <w:b/>
          <w:sz w:val="24"/>
          <w:szCs w:val="24"/>
        </w:rPr>
        <w:t xml:space="preserve">第三条  </w:t>
      </w:r>
      <w:r>
        <w:rPr>
          <w:rFonts w:hint="eastAsia"/>
          <w:sz w:val="24"/>
          <w:szCs w:val="24"/>
        </w:rPr>
        <w:t>结算方式：</w:t>
      </w:r>
      <w:r>
        <w:rPr>
          <w:rFonts w:hint="eastAsia"/>
          <w:bCs/>
          <w:sz w:val="24"/>
          <w:szCs w:val="24"/>
        </w:rPr>
        <w:t>合同签订甲方收到设备，验收且运行合格，甲方收到乙方提供的付款凭证后30日内向乙方支付合同总金额的50%货款；设备验收且运行合格6个月，甲方收到乙方提供的付款凭证后30日内向乙方支付合同总金额的40%货款；验收合格</w:t>
      </w:r>
      <w:r>
        <w:rPr>
          <w:rFonts w:hint="eastAsia"/>
          <w:bCs/>
          <w:sz w:val="24"/>
          <w:szCs w:val="24"/>
          <w:lang w:val="en-US" w:eastAsia="zh-CN"/>
        </w:rPr>
        <w:t>一</w:t>
      </w:r>
      <w:r>
        <w:rPr>
          <w:rFonts w:hint="eastAsia"/>
          <w:bCs/>
          <w:sz w:val="24"/>
          <w:szCs w:val="24"/>
        </w:rPr>
        <w:t>年后甲方收到乙方提供的付款凭证后30日内付清剩余10%货款。</w:t>
      </w:r>
    </w:p>
    <w:p w14:paraId="356E5772">
      <w:pPr>
        <w:spacing w:line="500" w:lineRule="exact"/>
        <w:ind w:firstLine="482" w:firstLineChars="200"/>
        <w:rPr>
          <w:sz w:val="24"/>
          <w:szCs w:val="24"/>
        </w:rPr>
      </w:pPr>
      <w:r>
        <w:rPr>
          <w:rFonts w:hint="eastAsia"/>
          <w:b/>
          <w:sz w:val="24"/>
          <w:szCs w:val="24"/>
        </w:rPr>
        <w:t xml:space="preserve">第四条  </w:t>
      </w:r>
      <w:r>
        <w:rPr>
          <w:rFonts w:hint="eastAsia"/>
          <w:sz w:val="24"/>
          <w:szCs w:val="24"/>
        </w:rPr>
        <w:t>交（提）货方式、地点及时间：由乙方负责，严格按投标文件承诺的交货时间及交货地点执行，交货时间为合同签订后30</w:t>
      </w:r>
      <w:r>
        <w:rPr>
          <w:rFonts w:hint="eastAsia"/>
          <w:bCs/>
          <w:sz w:val="24"/>
          <w:szCs w:val="24"/>
        </w:rPr>
        <w:t>日</w:t>
      </w:r>
      <w:r>
        <w:rPr>
          <w:rFonts w:hint="eastAsia"/>
          <w:sz w:val="24"/>
          <w:szCs w:val="24"/>
        </w:rPr>
        <w:t>内；交货地点为内蒙古自治区人民医院。</w:t>
      </w:r>
    </w:p>
    <w:p w14:paraId="77B81C06">
      <w:pPr>
        <w:spacing w:line="500" w:lineRule="exact"/>
        <w:ind w:firstLine="482" w:firstLineChars="200"/>
        <w:rPr>
          <w:sz w:val="24"/>
          <w:szCs w:val="24"/>
        </w:rPr>
      </w:pPr>
      <w:r>
        <w:rPr>
          <w:rFonts w:hint="eastAsia"/>
          <w:b/>
          <w:sz w:val="24"/>
          <w:szCs w:val="24"/>
        </w:rPr>
        <w:t xml:space="preserve">第五条  </w:t>
      </w:r>
      <w:r>
        <w:rPr>
          <w:rFonts w:hint="eastAsia"/>
          <w:sz w:val="24"/>
          <w:szCs w:val="24"/>
        </w:rPr>
        <w:t>包装标准、包装物的供应与回收：按</w:t>
      </w:r>
      <w:r>
        <w:rPr>
          <w:sz w:val="24"/>
          <w:szCs w:val="24"/>
        </w:rPr>
        <w:t>《医疗器械说明书、标签和包装标识管理规定》</w:t>
      </w:r>
      <w:r>
        <w:rPr>
          <w:rFonts w:hint="eastAsia"/>
          <w:sz w:val="24"/>
          <w:szCs w:val="24"/>
        </w:rPr>
        <w:t>要求进行包装。</w:t>
      </w:r>
    </w:p>
    <w:p w14:paraId="1934837D">
      <w:pPr>
        <w:spacing w:line="500" w:lineRule="exact"/>
        <w:ind w:firstLine="482" w:firstLineChars="200"/>
        <w:rPr>
          <w:sz w:val="24"/>
          <w:szCs w:val="24"/>
        </w:rPr>
      </w:pPr>
      <w:r>
        <w:rPr>
          <w:rFonts w:hint="eastAsia"/>
          <w:b/>
          <w:sz w:val="24"/>
          <w:szCs w:val="24"/>
        </w:rPr>
        <w:t xml:space="preserve">第六条  </w:t>
      </w:r>
      <w:r>
        <w:rPr>
          <w:rFonts w:hint="eastAsia"/>
          <w:sz w:val="24"/>
          <w:szCs w:val="24"/>
        </w:rPr>
        <w:t>质量标准：产品的医疗器械注册证中的产品标准</w:t>
      </w:r>
      <w:r>
        <w:rPr>
          <w:rFonts w:hint="eastAsia" w:asciiTheme="minorEastAsia" w:hAnsiTheme="minorEastAsia" w:eastAsiaTheme="minorEastAsia" w:cstheme="minorEastAsia"/>
          <w:sz w:val="24"/>
          <w:szCs w:val="24"/>
        </w:rPr>
        <w:t>等国家相关标准</w:t>
      </w:r>
      <w:r>
        <w:rPr>
          <w:rFonts w:hint="eastAsia"/>
          <w:sz w:val="24"/>
          <w:szCs w:val="24"/>
        </w:rPr>
        <w:t>。</w:t>
      </w:r>
    </w:p>
    <w:p w14:paraId="6A3791D3">
      <w:pPr>
        <w:spacing w:line="500" w:lineRule="exact"/>
        <w:ind w:firstLine="482" w:firstLineChars="200"/>
        <w:rPr>
          <w:sz w:val="24"/>
          <w:szCs w:val="24"/>
        </w:rPr>
      </w:pPr>
      <w:r>
        <w:rPr>
          <w:rFonts w:hint="eastAsia"/>
          <w:b/>
          <w:sz w:val="24"/>
          <w:szCs w:val="24"/>
        </w:rPr>
        <w:t xml:space="preserve">第七条  </w:t>
      </w:r>
      <w:r>
        <w:rPr>
          <w:rFonts w:hint="eastAsia"/>
          <w:sz w:val="24"/>
          <w:szCs w:val="24"/>
        </w:rPr>
        <w:t>安装调试及设备验收：乙方负责设备的安装调试，费用由乙方承担；属于医用计量器具的产品，卖方承担首次计量检测鉴定费用。合同生效后，乙方应将每台设备和仪器的中文说明书及技术资料、维修手册、软件备份、故障代码表、备件清单、零部件、维修密码等维护维修必备的材料和信息一套，连同设备一道交给甲方。若设备是国内货物，乙方应提供设备的出厂合格证、保修卡、装箱单及相关技术资料；若设备是国外货物，乙方应提供设备的报关单、保修卡、装箱单及相关技术资料。设备验收由甲方和乙方共同完成，到货验收（查验外包装、合同号、箱件数、收货单位名称、品名、货号、批次及相关材料；开箱查验医疗设备品名、规格、数量、外观、技术资料、出厂日期、出厂编号等）及性能验收（验证医疗设备功能；验证医疗设备技术参数和性能指标），验收后均须双方签字确认，设备试运行10天后无故障，方可视为验收合格。</w:t>
      </w:r>
    </w:p>
    <w:p w14:paraId="6F2414DA">
      <w:pPr>
        <w:spacing w:line="500" w:lineRule="exact"/>
        <w:ind w:firstLine="482" w:firstLineChars="200"/>
        <w:jc w:val="left"/>
        <w:rPr>
          <w:sz w:val="24"/>
          <w:szCs w:val="24"/>
          <w:u w:val="single"/>
        </w:rPr>
      </w:pPr>
      <w:r>
        <w:rPr>
          <w:rFonts w:hint="eastAsia"/>
          <w:b/>
          <w:sz w:val="24"/>
          <w:szCs w:val="24"/>
        </w:rPr>
        <w:t xml:space="preserve">第八条  </w:t>
      </w:r>
      <w:r>
        <w:rPr>
          <w:rFonts w:hint="eastAsia"/>
          <w:sz w:val="24"/>
          <w:szCs w:val="24"/>
        </w:rPr>
        <w:t>乙方对质量负责的条件及期限：乙方向甲方保证，凡按本合同出售的设备，交货时将不存在任何材料、生产工艺和所有权方面的瑕疵；本合同所有设备质保期为验收合格后</w:t>
      </w:r>
      <w:r>
        <w:rPr>
          <w:rFonts w:hint="eastAsia"/>
          <w:sz w:val="24"/>
          <w:szCs w:val="24"/>
          <w:u w:val="single"/>
          <w:lang w:val="en-US" w:eastAsia="zh-CN"/>
        </w:rPr>
        <w:t>24</w:t>
      </w:r>
      <w:r>
        <w:rPr>
          <w:rFonts w:hint="eastAsia"/>
          <w:sz w:val="24"/>
          <w:szCs w:val="24"/>
        </w:rPr>
        <w:t>个月（包含整机及配件等）</w:t>
      </w:r>
      <w:r>
        <w:rPr>
          <w:rFonts w:hint="eastAsia" w:asciiTheme="minorEastAsia" w:hAnsiTheme="minorEastAsia" w:eastAsiaTheme="minorEastAsia"/>
          <w:sz w:val="24"/>
          <w:szCs w:val="24"/>
        </w:rPr>
        <w:t>，</w:t>
      </w:r>
      <w:r>
        <w:rPr>
          <w:rFonts w:hint="eastAsia"/>
          <w:sz w:val="24"/>
          <w:szCs w:val="24"/>
        </w:rPr>
        <w:t>质保期内正常使用中出现故障，由乙方提供免费维修，并更换损坏的配件。乙方为甲方提供与设备生产厂家签订的售后服务承诺书，乙方在保修期满后，继续为甲方提供维修服务，换件收取符合市场价的配件费用。</w:t>
      </w:r>
    </w:p>
    <w:p w14:paraId="33BDCA25">
      <w:pPr>
        <w:spacing w:line="500" w:lineRule="exact"/>
        <w:ind w:firstLine="482" w:firstLineChars="200"/>
        <w:rPr>
          <w:sz w:val="24"/>
          <w:szCs w:val="24"/>
        </w:rPr>
      </w:pPr>
      <w:r>
        <w:rPr>
          <w:rFonts w:hint="eastAsia"/>
          <w:b/>
          <w:sz w:val="24"/>
          <w:szCs w:val="24"/>
        </w:rPr>
        <w:t xml:space="preserve">第九条  </w:t>
      </w:r>
      <w:r>
        <w:rPr>
          <w:rFonts w:hint="eastAsia"/>
          <w:sz w:val="24"/>
          <w:szCs w:val="24"/>
        </w:rPr>
        <w:t>随设备的必备品、配件、工具数量及供应办法：要求乙方按投标文件要求的标准配置准确配送，并提供设备安全风险报告、技术白皮书。</w:t>
      </w:r>
    </w:p>
    <w:p w14:paraId="49631AA2">
      <w:pPr>
        <w:spacing w:line="500" w:lineRule="exact"/>
        <w:ind w:firstLine="482" w:firstLineChars="200"/>
        <w:rPr>
          <w:sz w:val="24"/>
          <w:szCs w:val="24"/>
        </w:rPr>
      </w:pPr>
      <w:r>
        <w:rPr>
          <w:rFonts w:hint="eastAsia"/>
          <w:b/>
          <w:sz w:val="24"/>
          <w:szCs w:val="24"/>
        </w:rPr>
        <w:t xml:space="preserve">第十条  </w:t>
      </w:r>
      <w:r>
        <w:rPr>
          <w:rFonts w:hint="eastAsia"/>
          <w:sz w:val="24"/>
          <w:szCs w:val="24"/>
        </w:rPr>
        <w:t>技术培训：设备安装后，乙方负责免费在甲方处对甲方相关工作人员进行现场培训，维修培训。设备安装后，乙方负责免费在甲方处进行必要的维修培训。</w:t>
      </w:r>
    </w:p>
    <w:p w14:paraId="14569E47">
      <w:pPr>
        <w:spacing w:line="500" w:lineRule="exact"/>
        <w:ind w:firstLine="482" w:firstLineChars="200"/>
        <w:rPr>
          <w:sz w:val="24"/>
          <w:szCs w:val="24"/>
        </w:rPr>
      </w:pPr>
      <w:r>
        <w:rPr>
          <w:rFonts w:hint="eastAsia"/>
          <w:b/>
          <w:sz w:val="24"/>
          <w:szCs w:val="24"/>
        </w:rPr>
        <w:t xml:space="preserve">第十一条 </w:t>
      </w:r>
      <w:r>
        <w:rPr>
          <w:rFonts w:hint="eastAsia"/>
          <w:sz w:val="24"/>
          <w:szCs w:val="24"/>
        </w:rPr>
        <w:t xml:space="preserve"> 产品所有权自甲方验收合格时起转移，但购货单位未履行支付价款义务的，产品属于乙方所有。</w:t>
      </w:r>
    </w:p>
    <w:p w14:paraId="2D6EDDCA">
      <w:pPr>
        <w:spacing w:line="500" w:lineRule="exact"/>
        <w:ind w:firstLine="482" w:firstLineChars="200"/>
        <w:rPr>
          <w:sz w:val="24"/>
          <w:szCs w:val="24"/>
        </w:rPr>
      </w:pPr>
      <w:r>
        <w:rPr>
          <w:rFonts w:hint="eastAsia"/>
          <w:b/>
          <w:sz w:val="24"/>
          <w:szCs w:val="24"/>
        </w:rPr>
        <w:t xml:space="preserve">第十二条  </w:t>
      </w:r>
      <w:r>
        <w:rPr>
          <w:rFonts w:hint="eastAsia"/>
          <w:sz w:val="24"/>
          <w:szCs w:val="24"/>
        </w:rPr>
        <w:t>售后服务：根据国家食品药品监督管理总局令第18号《医疗器械使用质量监督管理办法》，除应按照投标文件中的售后服务承诺书执行外，还需乙方负责提供生产企业的维护与维修手册、软件备份、故障代码表、备件清单、零部件、维修密码等维护维修必须的材料和信息。</w:t>
      </w:r>
    </w:p>
    <w:p w14:paraId="539C7B37">
      <w:pPr>
        <w:spacing w:line="500" w:lineRule="exact"/>
        <w:ind w:firstLine="482" w:firstLineChars="200"/>
        <w:rPr>
          <w:rFonts w:asciiTheme="minorEastAsia" w:hAnsiTheme="minorEastAsia" w:eastAsiaTheme="minorEastAsia" w:cstheme="minorEastAsia"/>
          <w:sz w:val="24"/>
          <w:szCs w:val="24"/>
        </w:rPr>
      </w:pPr>
      <w:r>
        <w:rPr>
          <w:rFonts w:hint="eastAsia"/>
          <w:b/>
          <w:sz w:val="24"/>
          <w:szCs w:val="24"/>
        </w:rPr>
        <w:t xml:space="preserve">第十三条  </w:t>
      </w:r>
      <w:r>
        <w:rPr>
          <w:rFonts w:hint="eastAsia" w:asciiTheme="minorEastAsia" w:hAnsiTheme="minorEastAsia" w:eastAsiaTheme="minorEastAsia" w:cstheme="minorEastAsia"/>
          <w:sz w:val="24"/>
          <w:szCs w:val="24"/>
        </w:rPr>
        <w:t>权利及义务</w:t>
      </w:r>
    </w:p>
    <w:p w14:paraId="6F77B09E">
      <w:pPr>
        <w:spacing w:line="50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（一）甲方权利与义务</w:t>
      </w:r>
    </w:p>
    <w:p w14:paraId="0E5750BB">
      <w:pPr>
        <w:spacing w:line="50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1、甲方按照合同约定的时间、地点接收货物。</w:t>
      </w:r>
    </w:p>
    <w:p w14:paraId="3490D3BA">
      <w:pPr>
        <w:spacing w:line="50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（二）乙方权利与义务</w:t>
      </w:r>
    </w:p>
    <w:p w14:paraId="731A7A72">
      <w:pPr>
        <w:spacing w:line="500" w:lineRule="exact"/>
        <w:ind w:firstLine="480" w:firstLineChars="200"/>
        <w:rPr>
          <w:sz w:val="24"/>
          <w:szCs w:val="24"/>
        </w:rPr>
      </w:pPr>
      <w:r>
        <w:rPr>
          <w:rFonts w:hint="eastAsia" w:asciiTheme="minorEastAsia" w:hAnsiTheme="minorEastAsia" w:eastAsiaTheme="minorEastAsia" w:cstheme="minorEastAsia"/>
          <w:sz w:val="24"/>
          <w:szCs w:val="24"/>
        </w:rPr>
        <w:t>1、</w:t>
      </w:r>
      <w:r>
        <w:rPr>
          <w:rFonts w:hint="eastAsia"/>
          <w:sz w:val="24"/>
          <w:szCs w:val="24"/>
        </w:rPr>
        <w:t>乙方向甲方保证，凡按本合同出售的设备，交货时将不存在任何材料、生产工艺和所有权方面的瑕疵，保证所售货物完好无损。</w:t>
      </w:r>
    </w:p>
    <w:p w14:paraId="5EF200BA">
      <w:pPr>
        <w:spacing w:line="500" w:lineRule="exact"/>
        <w:ind w:firstLine="480" w:firstLineChars="200"/>
        <w:rPr>
          <w:sz w:val="24"/>
          <w:szCs w:val="24"/>
          <w:u w:val="single"/>
        </w:rPr>
      </w:pPr>
      <w:r>
        <w:rPr>
          <w:rFonts w:hint="eastAsia"/>
          <w:sz w:val="24"/>
          <w:szCs w:val="24"/>
        </w:rPr>
        <w:t>2、乙方必须在约定的地点、期限，按照约定的数量和品质标准交付货物。</w:t>
      </w:r>
    </w:p>
    <w:p w14:paraId="3C16F33A">
      <w:pPr>
        <w:spacing w:line="500" w:lineRule="exact"/>
        <w:ind w:firstLine="482" w:firstLineChars="200"/>
        <w:rPr>
          <w:b/>
          <w:sz w:val="24"/>
          <w:szCs w:val="24"/>
        </w:rPr>
      </w:pPr>
      <w:r>
        <w:rPr>
          <w:rFonts w:hint="eastAsia"/>
          <w:b/>
          <w:sz w:val="24"/>
          <w:szCs w:val="24"/>
        </w:rPr>
        <w:t xml:space="preserve">第十四条 </w:t>
      </w:r>
      <w:r>
        <w:rPr>
          <w:rFonts w:hint="eastAsia"/>
          <w:sz w:val="24"/>
          <w:szCs w:val="24"/>
        </w:rPr>
        <w:t xml:space="preserve"> 本合同解除的条件：</w:t>
      </w:r>
      <w:r>
        <w:rPr>
          <w:rFonts w:hint="eastAsia"/>
          <w:sz w:val="24"/>
          <w:szCs w:val="24"/>
          <w:u w:val="single"/>
        </w:rPr>
        <w:t xml:space="preserve"> 参照《中华人民共和国民法典》           </w:t>
      </w:r>
      <w:r>
        <w:rPr>
          <w:rFonts w:hint="eastAsia"/>
          <w:b/>
          <w:sz w:val="24"/>
          <w:szCs w:val="24"/>
          <w:u w:val="single"/>
        </w:rPr>
        <w:t xml:space="preserve">                                     </w:t>
      </w:r>
    </w:p>
    <w:p w14:paraId="71A93228">
      <w:pPr>
        <w:spacing w:line="500" w:lineRule="exact"/>
        <w:ind w:firstLine="482" w:firstLineChars="200"/>
        <w:rPr>
          <w:b/>
          <w:sz w:val="24"/>
          <w:szCs w:val="24"/>
        </w:rPr>
      </w:pPr>
      <w:r>
        <w:rPr>
          <w:rFonts w:hint="eastAsia"/>
          <w:b/>
          <w:sz w:val="24"/>
          <w:szCs w:val="24"/>
        </w:rPr>
        <w:t xml:space="preserve">第十五条  </w:t>
      </w:r>
      <w:r>
        <w:rPr>
          <w:rFonts w:hint="eastAsia"/>
          <w:sz w:val="24"/>
          <w:szCs w:val="24"/>
        </w:rPr>
        <w:t>违约责任：</w:t>
      </w:r>
    </w:p>
    <w:p w14:paraId="7F1CEBBA">
      <w:pPr>
        <w:spacing w:line="500" w:lineRule="exact"/>
        <w:ind w:firstLine="480" w:firstLineChars="200"/>
        <w:rPr>
          <w:sz w:val="24"/>
          <w:szCs w:val="24"/>
        </w:rPr>
      </w:pPr>
      <w:r>
        <w:rPr>
          <w:rFonts w:hint="eastAsia"/>
          <w:sz w:val="24"/>
          <w:szCs w:val="24"/>
        </w:rPr>
        <w:t>1、由于乙方所供产品质量、非不可抗力等原因给甲方造成经济损失时，由乙方承担相应责任，并负责赔偿损失；</w:t>
      </w:r>
    </w:p>
    <w:p w14:paraId="0C056BFB">
      <w:pPr>
        <w:spacing w:line="500" w:lineRule="exact"/>
        <w:ind w:firstLine="480" w:firstLineChars="200"/>
        <w:rPr>
          <w:sz w:val="24"/>
          <w:szCs w:val="24"/>
        </w:rPr>
      </w:pPr>
      <w:r>
        <w:rPr>
          <w:rFonts w:hint="eastAsia"/>
          <w:sz w:val="24"/>
          <w:szCs w:val="24"/>
        </w:rPr>
        <w:t>2、若乙方所提供的货物不符合质量要求验收不能通过，或者在使用过程中质量出现问题影响（或无法）正常使用，经过整改仍不能满足要求，甲方有权解除合同并不予支付相应的货款。</w:t>
      </w:r>
    </w:p>
    <w:p w14:paraId="5FC2FE93">
      <w:pPr>
        <w:spacing w:line="500" w:lineRule="exact"/>
        <w:ind w:firstLine="480" w:firstLineChars="200"/>
        <w:rPr>
          <w:sz w:val="24"/>
          <w:szCs w:val="24"/>
        </w:rPr>
      </w:pPr>
      <w:r>
        <w:rPr>
          <w:rFonts w:hint="eastAsia"/>
          <w:sz w:val="24"/>
          <w:szCs w:val="24"/>
        </w:rPr>
        <w:t>3、由于乙方原因未按合同约定送货，甲方有权解除合同，同时乙方应向甲方偿付合同总价的30%违约金。</w:t>
      </w:r>
    </w:p>
    <w:p w14:paraId="118994FA">
      <w:pPr>
        <w:spacing w:line="500" w:lineRule="exact"/>
        <w:ind w:firstLine="482" w:firstLineChars="200"/>
        <w:rPr>
          <w:sz w:val="24"/>
          <w:szCs w:val="24"/>
        </w:rPr>
      </w:pPr>
      <w:r>
        <w:rPr>
          <w:rFonts w:hint="eastAsia"/>
          <w:b/>
          <w:sz w:val="24"/>
          <w:szCs w:val="24"/>
        </w:rPr>
        <w:t xml:space="preserve">第十六条 </w:t>
      </w:r>
      <w:r>
        <w:rPr>
          <w:rFonts w:hint="eastAsia"/>
          <w:sz w:val="24"/>
          <w:szCs w:val="24"/>
        </w:rPr>
        <w:t xml:space="preserve"> 合同争议的解决方式：本合同在履行过程中发生的争议，应由双方当事人进行协商解决；协商不成的，任何一方可依法向甲方所在地人民法院起诉解决。</w:t>
      </w:r>
    </w:p>
    <w:p w14:paraId="7D7326C3">
      <w:pPr>
        <w:pStyle w:val="5"/>
        <w:spacing w:line="360" w:lineRule="auto"/>
        <w:ind w:firstLine="482" w:firstLineChars="200"/>
        <w:rPr>
          <w:b/>
          <w:sz w:val="24"/>
          <w:szCs w:val="24"/>
        </w:rPr>
      </w:pPr>
      <w:r>
        <w:rPr>
          <w:rFonts w:hint="eastAsia"/>
          <w:b/>
          <w:sz w:val="24"/>
          <w:szCs w:val="24"/>
        </w:rPr>
        <w:t xml:space="preserve">第十七条 </w:t>
      </w:r>
      <w:r>
        <w:rPr>
          <w:rFonts w:hint="eastAsia"/>
          <w:bCs/>
          <w:sz w:val="24"/>
          <w:szCs w:val="24"/>
        </w:rPr>
        <w:t xml:space="preserve"> 不可抗力：</w:t>
      </w:r>
    </w:p>
    <w:p w14:paraId="326C9863">
      <w:pPr>
        <w:pStyle w:val="5"/>
        <w:spacing w:line="360" w:lineRule="auto"/>
        <w:ind w:firstLine="480" w:firstLineChars="200"/>
        <w:rPr>
          <w:bCs/>
          <w:sz w:val="24"/>
          <w:szCs w:val="24"/>
        </w:rPr>
      </w:pPr>
      <w:r>
        <w:rPr>
          <w:rFonts w:hint="eastAsia"/>
          <w:bCs/>
          <w:sz w:val="24"/>
          <w:szCs w:val="24"/>
        </w:rPr>
        <w:t>1、本合同所称不可抗力是指不能预见、不能避免并不能克服的客观情况，包括但不限于战争、严重火灾、水灾、台风和地震以及其他双方书面同意属于不可抗力的事故。因为不可抗力导致本合同部分或全部不能履行的，可以部分或全部解除本合同，或者根据不可抗力的影响，甲乙双方协商确定适当延长履行期限，或采取其他补救措施。</w:t>
      </w:r>
    </w:p>
    <w:p w14:paraId="465E3EFE">
      <w:pPr>
        <w:pStyle w:val="5"/>
        <w:spacing w:line="360" w:lineRule="auto"/>
        <w:ind w:firstLine="480" w:firstLineChars="200"/>
        <w:rPr>
          <w:bCs/>
          <w:sz w:val="24"/>
          <w:szCs w:val="24"/>
        </w:rPr>
      </w:pPr>
      <w:r>
        <w:rPr>
          <w:rFonts w:hint="eastAsia"/>
          <w:bCs/>
          <w:sz w:val="24"/>
          <w:szCs w:val="24"/>
        </w:rPr>
        <w:t>2、受不可抗力的影响而不能履行的一方应在不可抗力发生后第一时间以书面形式通知另一方，并在不可抗力结束后十个工作日，将有关部门出具的证明文件送达给另一方。根据不可抗力的影响，甲乙双方可以解除或部分解除本合同，或者就本合同的延期履行达成补充协议。</w:t>
      </w:r>
    </w:p>
    <w:p w14:paraId="530A03EC">
      <w:pPr>
        <w:pStyle w:val="5"/>
        <w:spacing w:line="360" w:lineRule="auto"/>
        <w:ind w:firstLine="480" w:firstLineChars="200"/>
      </w:pPr>
      <w:r>
        <w:rPr>
          <w:rFonts w:hint="eastAsia"/>
          <w:bCs/>
          <w:sz w:val="24"/>
          <w:szCs w:val="24"/>
        </w:rPr>
        <w:t>3、因为不可抗力不能履行本合同的，根据不可抗力的影响，可以部分或全部免除履约方的责任，法律另有规定的除外。一方迟延履行后发生不可抗力的，不能免除责任。</w:t>
      </w:r>
    </w:p>
    <w:p w14:paraId="169FFB5E">
      <w:pPr>
        <w:spacing w:line="500" w:lineRule="exact"/>
        <w:ind w:firstLine="482" w:firstLineChars="200"/>
        <w:rPr>
          <w:b/>
          <w:sz w:val="24"/>
          <w:szCs w:val="24"/>
        </w:rPr>
      </w:pPr>
      <w:r>
        <w:rPr>
          <w:rFonts w:hint="eastAsia"/>
          <w:b/>
          <w:sz w:val="24"/>
          <w:szCs w:val="24"/>
        </w:rPr>
        <w:t xml:space="preserve">第十八条  </w:t>
      </w:r>
      <w:r>
        <w:rPr>
          <w:rFonts w:hint="eastAsia"/>
          <w:sz w:val="24"/>
          <w:szCs w:val="24"/>
        </w:rPr>
        <w:t xml:space="preserve">本合同设备的招标文件、投标文件、采购结果公告、中标通知书等相关文件是本合同不可分割的组成部分。本合同未尽事宜，双方应协商解决或签订补充协议。             </w:t>
      </w:r>
      <w:r>
        <w:rPr>
          <w:rFonts w:hint="eastAsia"/>
          <w:b/>
          <w:sz w:val="24"/>
          <w:szCs w:val="24"/>
        </w:rPr>
        <w:t xml:space="preserve">                             </w:t>
      </w:r>
    </w:p>
    <w:p w14:paraId="7FBDE9DD">
      <w:pPr>
        <w:spacing w:line="500" w:lineRule="exact"/>
        <w:ind w:firstLine="482" w:firstLineChars="200"/>
        <w:jc w:val="left"/>
        <w:rPr>
          <w:b/>
          <w:sz w:val="24"/>
          <w:szCs w:val="24"/>
        </w:rPr>
      </w:pPr>
      <w:r>
        <w:rPr>
          <w:rFonts w:hint="eastAsia"/>
          <w:b/>
          <w:sz w:val="24"/>
          <w:szCs w:val="24"/>
        </w:rPr>
        <w:t xml:space="preserve">第十九条  </w:t>
      </w:r>
      <w:r>
        <w:rPr>
          <w:rFonts w:hint="eastAsia"/>
          <w:sz w:val="24"/>
          <w:szCs w:val="24"/>
        </w:rPr>
        <w:t>本合同经甲、乙双方签字、盖章后生效。本合同内容如遇国家法律、法规及政策另有规定的，从其规定。</w:t>
      </w:r>
    </w:p>
    <w:p w14:paraId="7B029713">
      <w:pPr>
        <w:spacing w:line="500" w:lineRule="exact"/>
        <w:ind w:firstLine="482" w:firstLineChars="200"/>
        <w:rPr>
          <w:sz w:val="24"/>
          <w:szCs w:val="24"/>
        </w:rPr>
      </w:pPr>
      <w:r>
        <w:rPr>
          <w:rFonts w:hint="eastAsia"/>
          <w:b/>
          <w:sz w:val="24"/>
          <w:szCs w:val="24"/>
        </w:rPr>
        <w:t xml:space="preserve">第二十条  </w:t>
      </w:r>
      <w:r>
        <w:rPr>
          <w:rFonts w:hint="eastAsia"/>
          <w:sz w:val="24"/>
          <w:szCs w:val="24"/>
        </w:rPr>
        <w:t>本合同一式五份，甲方执三份、乙方执一份、招标代理机构执一份。</w:t>
      </w:r>
    </w:p>
    <w:p w14:paraId="2DF38148">
      <w:pPr>
        <w:pStyle w:val="5"/>
        <w:rPr>
          <w:rFonts w:hint="eastAsia" w:eastAsia="宋体"/>
          <w:lang w:eastAsia="zh-CN"/>
        </w:rPr>
      </w:pPr>
      <w:r>
        <w:rPr>
          <w:rFonts w:hint="eastAsia"/>
          <w:lang w:eastAsia="zh-CN"/>
        </w:rPr>
        <w:t>（</w:t>
      </w:r>
      <w:r>
        <w:rPr>
          <w:rFonts w:hint="eastAsia"/>
          <w:lang w:val="en-US" w:eastAsia="zh-CN"/>
        </w:rPr>
        <w:t>以下无正文</w:t>
      </w:r>
      <w:r>
        <w:rPr>
          <w:rFonts w:hint="eastAsia"/>
          <w:lang w:eastAsia="zh-CN"/>
        </w:rPr>
        <w:t>）</w:t>
      </w:r>
    </w:p>
    <w:p w14:paraId="2313A382">
      <w:pPr>
        <w:pStyle w:val="5"/>
      </w:pPr>
    </w:p>
    <w:p w14:paraId="369ADAB4">
      <w:pPr>
        <w:pStyle w:val="5"/>
      </w:pPr>
    </w:p>
    <w:p w14:paraId="2BC4B261">
      <w:pPr>
        <w:pStyle w:val="5"/>
      </w:pPr>
    </w:p>
    <w:p w14:paraId="571C8BC2">
      <w:pPr>
        <w:pStyle w:val="5"/>
      </w:pPr>
    </w:p>
    <w:p w14:paraId="4F5983EE">
      <w:pPr>
        <w:pStyle w:val="5"/>
      </w:pPr>
    </w:p>
    <w:p w14:paraId="496A9113">
      <w:pPr>
        <w:pStyle w:val="5"/>
        <w:rPr>
          <w:rFonts w:hint="eastAsia"/>
          <w:lang w:eastAsia="zh-CN"/>
        </w:rPr>
      </w:pPr>
      <w:r>
        <w:rPr>
          <w:rFonts w:hint="eastAsia"/>
          <w:lang w:eastAsia="zh-CN"/>
        </w:rPr>
        <w:t>（</w:t>
      </w:r>
      <w:r>
        <w:rPr>
          <w:rFonts w:hint="eastAsia"/>
          <w:lang w:val="en-US" w:eastAsia="zh-CN"/>
        </w:rPr>
        <w:t>此页无正文</w:t>
      </w:r>
      <w:r>
        <w:rPr>
          <w:rFonts w:hint="eastAsia"/>
          <w:lang w:eastAsia="zh-CN"/>
        </w:rPr>
        <w:t>）</w:t>
      </w:r>
    </w:p>
    <w:p w14:paraId="28321AC2">
      <w:pPr>
        <w:pStyle w:val="5"/>
        <w:rPr>
          <w:rFonts w:hint="eastAsia"/>
          <w:lang w:eastAsia="zh-CN"/>
        </w:rPr>
      </w:pPr>
    </w:p>
    <w:p w14:paraId="013D078C">
      <w:pPr>
        <w:spacing w:line="540" w:lineRule="exact"/>
        <w:ind w:left="840" w:leftChars="400"/>
        <w:rPr>
          <w:rFonts w:ascii="宋体" w:hAnsi="宋体"/>
          <w:sz w:val="24"/>
          <w:szCs w:val="24"/>
        </w:rPr>
      </w:pPr>
      <w:r>
        <w:rPr>
          <w:rFonts w:hint="eastAsia" w:ascii="宋体" w:hAnsi="宋体"/>
          <w:b/>
          <w:sz w:val="24"/>
          <w:szCs w:val="24"/>
        </w:rPr>
        <w:t>甲方：</w:t>
      </w:r>
      <w:r>
        <w:rPr>
          <w:rFonts w:hint="eastAsia" w:ascii="宋体" w:hAnsi="宋体"/>
          <w:b/>
          <w:bCs/>
          <w:sz w:val="24"/>
          <w:szCs w:val="24"/>
        </w:rPr>
        <w:t xml:space="preserve">内蒙古自治区人民医院（加盖公章） </w:t>
      </w:r>
      <w:r>
        <w:rPr>
          <w:rFonts w:hint="eastAsia" w:ascii="宋体" w:hAnsi="宋体"/>
          <w:sz w:val="24"/>
          <w:szCs w:val="24"/>
        </w:rPr>
        <w:t xml:space="preserve">                </w:t>
      </w:r>
    </w:p>
    <w:p w14:paraId="605217DE">
      <w:pPr>
        <w:spacing w:line="540" w:lineRule="exact"/>
        <w:ind w:left="840" w:leftChars="400"/>
        <w:rPr>
          <w:rFonts w:ascii="宋体" w:hAnsi="宋体"/>
          <w:sz w:val="24"/>
          <w:szCs w:val="24"/>
        </w:rPr>
      </w:pPr>
      <w:r>
        <w:rPr>
          <w:rFonts w:hint="eastAsia" w:ascii="宋体" w:hAnsi="宋体"/>
          <w:sz w:val="24"/>
          <w:szCs w:val="24"/>
        </w:rPr>
        <w:t xml:space="preserve">法定代表人或法人授权代表（签字）：              </w:t>
      </w:r>
    </w:p>
    <w:p w14:paraId="5EE1CE7D">
      <w:pPr>
        <w:spacing w:line="540" w:lineRule="exact"/>
        <w:ind w:left="840" w:leftChars="400"/>
        <w:rPr>
          <w:rFonts w:ascii="宋体" w:hAnsi="宋体"/>
          <w:sz w:val="24"/>
          <w:szCs w:val="24"/>
        </w:rPr>
      </w:pPr>
      <w:r>
        <w:rPr>
          <w:rFonts w:hint="eastAsia" w:ascii="宋体" w:hAnsi="宋体"/>
          <w:sz w:val="24"/>
          <w:szCs w:val="24"/>
        </w:rPr>
        <w:t xml:space="preserve">地址：呼和浩特市赛罕区昭乌达路20号       </w:t>
      </w:r>
    </w:p>
    <w:p w14:paraId="299FF68F">
      <w:pPr>
        <w:spacing w:line="540" w:lineRule="exact"/>
        <w:ind w:left="840" w:leftChars="400"/>
        <w:rPr>
          <w:rFonts w:ascii="宋体" w:hAnsi="宋体"/>
          <w:sz w:val="24"/>
          <w:szCs w:val="24"/>
        </w:rPr>
      </w:pPr>
      <w:r>
        <w:rPr>
          <w:rFonts w:hint="eastAsia" w:ascii="宋体" w:hAnsi="宋体"/>
          <w:sz w:val="24"/>
          <w:szCs w:val="24"/>
        </w:rPr>
        <w:t xml:space="preserve">邮政编码：010017                     </w:t>
      </w:r>
    </w:p>
    <w:p w14:paraId="51A724B1">
      <w:pPr>
        <w:spacing w:line="540" w:lineRule="exact"/>
        <w:ind w:left="840" w:leftChars="400"/>
        <w:rPr>
          <w:rFonts w:ascii="宋体" w:hAnsi="宋体"/>
          <w:sz w:val="24"/>
          <w:szCs w:val="24"/>
        </w:rPr>
      </w:pPr>
      <w:r>
        <w:rPr>
          <w:rFonts w:hint="eastAsia" w:ascii="宋体" w:hAnsi="宋体"/>
          <w:sz w:val="24"/>
          <w:szCs w:val="24"/>
        </w:rPr>
        <w:t xml:space="preserve">电话：0471-3283060       </w:t>
      </w:r>
    </w:p>
    <w:p w14:paraId="46F5EBA3">
      <w:pPr>
        <w:spacing w:line="540" w:lineRule="exact"/>
        <w:ind w:left="840" w:leftChars="400"/>
        <w:rPr>
          <w:rFonts w:ascii="宋体" w:hAnsi="宋体"/>
          <w:sz w:val="24"/>
          <w:szCs w:val="24"/>
        </w:rPr>
      </w:pPr>
      <w:r>
        <w:rPr>
          <w:rFonts w:hint="eastAsia" w:ascii="宋体" w:hAnsi="宋体"/>
          <w:sz w:val="24"/>
          <w:szCs w:val="24"/>
        </w:rPr>
        <w:t>开户银行：中国农业银行呼和浩特市鼓楼支行</w:t>
      </w:r>
    </w:p>
    <w:p w14:paraId="4A40CF70">
      <w:pPr>
        <w:spacing w:line="540" w:lineRule="exact"/>
        <w:ind w:left="840" w:leftChars="400"/>
        <w:rPr>
          <w:rFonts w:ascii="宋体" w:hAnsi="宋体"/>
          <w:sz w:val="24"/>
          <w:szCs w:val="24"/>
        </w:rPr>
      </w:pPr>
      <w:r>
        <w:rPr>
          <w:rFonts w:hint="eastAsia" w:ascii="宋体" w:hAnsi="宋体"/>
          <w:sz w:val="24"/>
          <w:szCs w:val="24"/>
        </w:rPr>
        <w:t>开户账号：05510101040000910</w:t>
      </w:r>
    </w:p>
    <w:p w14:paraId="30ADAC61">
      <w:pPr>
        <w:spacing w:line="540" w:lineRule="exact"/>
        <w:ind w:left="840" w:leftChars="400"/>
        <w:rPr>
          <w:rFonts w:ascii="宋体" w:hAnsi="宋体"/>
          <w:sz w:val="24"/>
          <w:szCs w:val="24"/>
        </w:rPr>
      </w:pPr>
      <w:r>
        <w:rPr>
          <w:rFonts w:hint="eastAsia" w:ascii="宋体" w:hAnsi="宋体"/>
          <w:sz w:val="24"/>
          <w:szCs w:val="24"/>
        </w:rPr>
        <w:t xml:space="preserve">纳税人识别号：12150000460028258G               </w:t>
      </w:r>
    </w:p>
    <w:p w14:paraId="06D68C5E">
      <w:pPr>
        <w:spacing w:line="540" w:lineRule="exact"/>
        <w:ind w:left="840" w:leftChars="400"/>
        <w:rPr>
          <w:rFonts w:ascii="宋体" w:hAnsi="宋体"/>
          <w:sz w:val="24"/>
          <w:szCs w:val="24"/>
        </w:rPr>
      </w:pPr>
      <w:r>
        <w:rPr>
          <w:rFonts w:hint="eastAsia" w:ascii="宋体" w:hAnsi="宋体"/>
          <w:sz w:val="24"/>
          <w:szCs w:val="24"/>
        </w:rPr>
        <w:t>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 xml:space="preserve">日        </w:t>
      </w:r>
    </w:p>
    <w:p w14:paraId="05D8DD38">
      <w:pPr>
        <w:spacing w:line="540" w:lineRule="exact"/>
        <w:rPr>
          <w:rFonts w:hint="eastAsia" w:ascii="宋体" w:hAnsi="宋体"/>
          <w:sz w:val="24"/>
          <w:szCs w:val="24"/>
        </w:rPr>
      </w:pPr>
      <w:r>
        <w:rPr>
          <w:rFonts w:hint="eastAsia" w:ascii="宋体" w:hAnsi="宋体"/>
          <w:sz w:val="24"/>
          <w:szCs w:val="24"/>
        </w:rPr>
        <w:t xml:space="preserve">  </w:t>
      </w:r>
    </w:p>
    <w:p w14:paraId="05230B4E">
      <w:pPr>
        <w:widowControl/>
        <w:spacing w:line="540" w:lineRule="exact"/>
        <w:ind w:firstLine="723" w:firstLineChars="300"/>
        <w:jc w:val="left"/>
        <w:rPr>
          <w:rFonts w:ascii="宋体" w:hAnsi="宋体"/>
          <w:bCs/>
          <w:sz w:val="24"/>
          <w:szCs w:val="24"/>
        </w:rPr>
      </w:pPr>
      <w:r>
        <w:rPr>
          <w:rFonts w:hint="eastAsia" w:ascii="宋体" w:hAnsi="宋体"/>
          <w:b/>
          <w:sz w:val="24"/>
          <w:szCs w:val="24"/>
        </w:rPr>
        <w:t xml:space="preserve">乙方： </w:t>
      </w:r>
      <w:r>
        <w:rPr>
          <w:rFonts w:hint="eastAsia" w:ascii="宋体" w:hAnsi="宋体"/>
          <w:b/>
          <w:sz w:val="24"/>
          <w:szCs w:val="24"/>
          <w:lang w:eastAsia="zh-CN"/>
        </w:rPr>
        <w:t>内蒙古助康药业集团有限责任公司</w:t>
      </w:r>
      <w:r>
        <w:rPr>
          <w:rFonts w:hint="eastAsia" w:ascii="宋体" w:hAnsi="宋体"/>
          <w:b/>
          <w:sz w:val="24"/>
          <w:szCs w:val="24"/>
        </w:rPr>
        <w:t xml:space="preserve"> （加盖公章） </w:t>
      </w:r>
    </w:p>
    <w:p w14:paraId="635AB4D1">
      <w:pPr>
        <w:widowControl/>
        <w:spacing w:line="540" w:lineRule="exact"/>
        <w:ind w:left="840" w:leftChars="400"/>
        <w:jc w:val="left"/>
        <w:rPr>
          <w:sz w:val="28"/>
          <w:szCs w:val="28"/>
        </w:rPr>
      </w:pPr>
      <w:r>
        <w:rPr>
          <w:rFonts w:hint="eastAsia" w:ascii="宋体" w:hAnsi="宋体"/>
          <w:sz w:val="24"/>
          <w:szCs w:val="24"/>
        </w:rPr>
        <w:t>法定代表人或法人授权代表（签字）：</w:t>
      </w:r>
    </w:p>
    <w:p w14:paraId="6D4B3109">
      <w:pPr>
        <w:keepNext w:val="0"/>
        <w:keepLines w:val="0"/>
        <w:pageBreakBefore w:val="0"/>
        <w:widowControl/>
        <w:kinsoku/>
        <w:wordWrap w:val="0"/>
        <w:overflowPunct/>
        <w:topLinePunct/>
        <w:autoSpaceDE w:val="0"/>
        <w:autoSpaceDN w:val="0"/>
        <w:bidi w:val="0"/>
        <w:adjustRightInd w:val="0"/>
        <w:snapToGrid w:val="0"/>
        <w:spacing w:line="400" w:lineRule="exact"/>
        <w:ind w:left="0" w:leftChars="0" w:firstLine="840" w:firstLineChars="350"/>
        <w:textAlignment w:val="baseline"/>
        <w:rPr>
          <w:rFonts w:hint="eastAsia" w:ascii="宋体" w:hAnsi="宋体" w:eastAsia="宋体" w:cs="宋体"/>
          <w:sz w:val="24"/>
          <w:szCs w:val="24"/>
        </w:rPr>
      </w:pPr>
      <w:r>
        <w:rPr>
          <w:rFonts w:hint="eastAsia" w:ascii="宋体" w:hAnsi="宋体"/>
          <w:sz w:val="24"/>
          <w:szCs w:val="24"/>
        </w:rPr>
        <w:t>地址：</w:t>
      </w:r>
    </w:p>
    <w:p w14:paraId="128993FC">
      <w:pPr>
        <w:widowControl/>
        <w:spacing w:line="540" w:lineRule="exact"/>
        <w:ind w:left="840" w:leftChars="400"/>
        <w:jc w:val="left"/>
        <w:rPr>
          <w:rFonts w:ascii="宋体" w:hAnsi="宋体"/>
          <w:sz w:val="24"/>
          <w:szCs w:val="24"/>
        </w:rPr>
      </w:pPr>
      <w:r>
        <w:rPr>
          <w:rFonts w:hint="eastAsia" w:ascii="宋体" w:hAnsi="宋体"/>
          <w:sz w:val="24"/>
          <w:szCs w:val="24"/>
        </w:rPr>
        <w:t>邮政编码：</w:t>
      </w:r>
    </w:p>
    <w:p w14:paraId="7FAD695C">
      <w:pPr>
        <w:widowControl/>
        <w:spacing w:line="540" w:lineRule="exact"/>
        <w:ind w:left="840" w:leftChars="400"/>
        <w:jc w:val="left"/>
        <w:rPr>
          <w:rFonts w:hint="eastAsia" w:ascii="宋体" w:hAnsi="宋体" w:eastAsia="宋体" w:cs="宋体"/>
          <w:sz w:val="24"/>
          <w:szCs w:val="24"/>
          <w:lang w:val="en-US" w:eastAsia="zh-CN"/>
        </w:rPr>
      </w:pPr>
      <w:r>
        <w:rPr>
          <w:rFonts w:hint="eastAsia" w:ascii="宋体" w:hAnsi="宋体"/>
          <w:sz w:val="24"/>
          <w:szCs w:val="24"/>
        </w:rPr>
        <w:t>电话：</w:t>
      </w:r>
    </w:p>
    <w:p w14:paraId="250523A9">
      <w:pPr>
        <w:widowControl/>
        <w:spacing w:line="540" w:lineRule="exact"/>
        <w:ind w:left="840" w:leftChars="400"/>
        <w:jc w:val="left"/>
        <w:rPr>
          <w:rFonts w:ascii="宋体" w:hAnsi="宋体"/>
          <w:sz w:val="24"/>
          <w:szCs w:val="24"/>
        </w:rPr>
      </w:pPr>
      <w:r>
        <w:rPr>
          <w:rFonts w:hint="eastAsia" w:ascii="宋体" w:hAnsi="宋体"/>
          <w:sz w:val="24"/>
          <w:szCs w:val="24"/>
        </w:rPr>
        <w:t>传真：</w:t>
      </w:r>
    </w:p>
    <w:p w14:paraId="201AE086">
      <w:pPr>
        <w:widowControl/>
        <w:spacing w:line="540" w:lineRule="exact"/>
        <w:ind w:left="840" w:leftChars="400"/>
        <w:jc w:val="left"/>
        <w:rPr>
          <w:rFonts w:hint="eastAsia" w:eastAsia="宋体" w:cs="Times New Roman"/>
          <w:sz w:val="24"/>
          <w:szCs w:val="24"/>
        </w:rPr>
      </w:pPr>
      <w:r>
        <w:rPr>
          <w:rFonts w:hint="eastAsia" w:eastAsia="宋体" w:cs="Times New Roman"/>
          <w:sz w:val="24"/>
          <w:szCs w:val="24"/>
        </w:rPr>
        <w:t>电子邮箱：</w:t>
      </w:r>
    </w:p>
    <w:p w14:paraId="779E3899">
      <w:pPr>
        <w:widowControl/>
        <w:spacing w:line="540" w:lineRule="exact"/>
        <w:ind w:left="840" w:leftChars="400"/>
        <w:jc w:val="left"/>
        <w:rPr>
          <w:rFonts w:hint="eastAsia" w:eastAsia="宋体" w:cs="Times New Roman"/>
          <w:sz w:val="24"/>
          <w:szCs w:val="24"/>
          <w:lang w:val="en-US" w:eastAsia="zh-CN"/>
        </w:rPr>
      </w:pPr>
      <w:r>
        <w:rPr>
          <w:rFonts w:hint="eastAsia" w:eastAsia="宋体" w:cs="Times New Roman"/>
          <w:sz w:val="24"/>
          <w:szCs w:val="24"/>
        </w:rPr>
        <w:t>开户银行：</w:t>
      </w:r>
    </w:p>
    <w:p w14:paraId="3BD8FBBE">
      <w:pPr>
        <w:widowControl/>
        <w:spacing w:line="540" w:lineRule="exact"/>
        <w:ind w:left="840" w:leftChars="400"/>
        <w:jc w:val="left"/>
        <w:rPr>
          <w:rFonts w:hint="eastAsia" w:eastAsia="宋体" w:cs="Times New Roman"/>
          <w:sz w:val="24"/>
          <w:szCs w:val="24"/>
        </w:rPr>
      </w:pPr>
      <w:r>
        <w:rPr>
          <w:rFonts w:hint="eastAsia" w:eastAsia="宋体" w:cs="Times New Roman"/>
          <w:sz w:val="24"/>
          <w:szCs w:val="24"/>
        </w:rPr>
        <w:t>帐号：</w:t>
      </w:r>
    </w:p>
    <w:p w14:paraId="7A4CF268">
      <w:pPr>
        <w:widowControl/>
        <w:spacing w:line="540" w:lineRule="exact"/>
        <w:ind w:left="840" w:leftChars="400"/>
        <w:jc w:val="left"/>
        <w:rPr>
          <w:rFonts w:hint="default" w:eastAsia="宋体" w:cs="Times New Roman"/>
          <w:sz w:val="24"/>
          <w:szCs w:val="24"/>
          <w:lang w:val="en-US" w:eastAsia="zh-CN"/>
        </w:rPr>
      </w:pPr>
      <w:r>
        <w:rPr>
          <w:rFonts w:hint="eastAsia" w:eastAsia="宋体" w:cs="Times New Roman"/>
          <w:sz w:val="24"/>
          <w:szCs w:val="24"/>
        </w:rPr>
        <w:t>纳税人识别号：</w:t>
      </w:r>
    </w:p>
    <w:p w14:paraId="792F95F5">
      <w:pPr>
        <w:widowControl/>
        <w:spacing w:line="540" w:lineRule="exact"/>
        <w:ind w:left="840" w:leftChars="400"/>
        <w:jc w:val="left"/>
        <w:rPr>
          <w:rFonts w:ascii="宋体" w:hAnsi="宋体"/>
          <w:sz w:val="24"/>
          <w:szCs w:val="24"/>
        </w:rPr>
      </w:pPr>
      <w:r>
        <w:rPr>
          <w:rFonts w:hint="eastAsia" w:eastAsia="宋体" w:cs="Times New Roman"/>
          <w:sz w:val="24"/>
          <w:szCs w:val="24"/>
        </w:rPr>
        <w:t>日期：</w:t>
      </w:r>
      <w:r>
        <w:rPr>
          <w:rFonts w:hint="eastAsia" w:eastAsia="宋体" w:cs="Times New Roman"/>
          <w:sz w:val="24"/>
          <w:szCs w:val="24"/>
          <w:u w:val="single"/>
        </w:rPr>
        <w:t xml:space="preserve">        </w:t>
      </w:r>
      <w:r>
        <w:rPr>
          <w:rFonts w:hint="eastAsia" w:eastAsia="宋体" w:cs="Times New Roman"/>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36067C66">
      <w:pPr>
        <w:pStyle w:val="5"/>
        <w:spacing w:line="360" w:lineRule="auto"/>
        <w:rPr>
          <w:rFonts w:hint="eastAsia" w:hAnsi="宋体"/>
          <w:sz w:val="24"/>
          <w:szCs w:val="24"/>
        </w:rPr>
      </w:pPr>
    </w:p>
    <w:p w14:paraId="2EA4CEE7">
      <w:pPr>
        <w:pStyle w:val="5"/>
        <w:spacing w:line="360" w:lineRule="auto"/>
        <w:rPr>
          <w:rFonts w:hint="eastAsia" w:hAnsi="宋体"/>
          <w:sz w:val="24"/>
          <w:szCs w:val="24"/>
        </w:rPr>
      </w:pPr>
    </w:p>
    <w:p w14:paraId="013A75E9">
      <w:pPr>
        <w:pStyle w:val="5"/>
        <w:spacing w:line="360" w:lineRule="auto"/>
        <w:rPr>
          <w:rFonts w:hint="eastAsia" w:hAnsi="宋体"/>
          <w:sz w:val="24"/>
          <w:szCs w:val="24"/>
        </w:rPr>
      </w:pPr>
    </w:p>
    <w:p w14:paraId="508CD712">
      <w:pPr>
        <w:pStyle w:val="5"/>
        <w:spacing w:line="360" w:lineRule="auto"/>
        <w:rPr>
          <w:rFonts w:hAnsi="宋体"/>
          <w:sz w:val="24"/>
          <w:szCs w:val="24"/>
        </w:rPr>
      </w:pPr>
      <w:r>
        <w:rPr>
          <w:rFonts w:hint="eastAsia" w:hAnsi="宋体"/>
          <w:sz w:val="24"/>
          <w:szCs w:val="24"/>
        </w:rPr>
        <w:t>附件1：内蒙古自治区人民医院采购项目廉洁购销合同</w:t>
      </w:r>
    </w:p>
    <w:p w14:paraId="59D35316">
      <w:pPr>
        <w:pStyle w:val="5"/>
        <w:spacing w:line="360" w:lineRule="auto"/>
        <w:rPr>
          <w:rFonts w:hAnsi="宋体"/>
          <w:sz w:val="24"/>
          <w:szCs w:val="24"/>
        </w:rPr>
      </w:pPr>
      <w:r>
        <w:rPr>
          <w:rFonts w:hint="eastAsia" w:hAnsi="宋体"/>
          <w:sz w:val="24"/>
          <w:szCs w:val="24"/>
        </w:rPr>
        <w:t>附件</w:t>
      </w:r>
      <w:r>
        <w:rPr>
          <w:rFonts w:hint="eastAsia" w:hAnsi="宋体"/>
          <w:sz w:val="24"/>
          <w:szCs w:val="24"/>
          <w:lang w:val="en-US" w:eastAsia="zh-CN"/>
        </w:rPr>
        <w:t>2</w:t>
      </w:r>
      <w:r>
        <w:rPr>
          <w:rFonts w:hint="eastAsia" w:hAnsi="宋体"/>
          <w:sz w:val="24"/>
          <w:szCs w:val="24"/>
        </w:rPr>
        <w:t>：医疗设备配置清单</w:t>
      </w:r>
    </w:p>
    <w:p w14:paraId="1A7E85B8">
      <w:pPr>
        <w:pStyle w:val="5"/>
        <w:spacing w:line="360" w:lineRule="auto"/>
        <w:rPr>
          <w:rFonts w:hAnsi="宋体"/>
          <w:sz w:val="24"/>
          <w:szCs w:val="24"/>
        </w:rPr>
      </w:pPr>
      <w:r>
        <w:rPr>
          <w:rFonts w:hint="eastAsia" w:hAnsi="宋体"/>
          <w:sz w:val="24"/>
          <w:szCs w:val="24"/>
        </w:rPr>
        <w:t>附件1：</w:t>
      </w:r>
    </w:p>
    <w:p w14:paraId="65FD57A8">
      <w:pPr>
        <w:spacing w:line="400" w:lineRule="exact"/>
        <w:jc w:val="center"/>
        <w:rPr>
          <w:rFonts w:ascii="宋体" w:hAnsi="宋体"/>
          <w:b/>
          <w:sz w:val="36"/>
          <w:szCs w:val="36"/>
        </w:rPr>
      </w:pPr>
      <w:r>
        <w:rPr>
          <w:rFonts w:hint="eastAsia" w:ascii="宋体" w:hAnsi="宋体"/>
          <w:b/>
          <w:sz w:val="36"/>
          <w:szCs w:val="36"/>
        </w:rPr>
        <w:t>内蒙古自治区人民医院采购项目廉洁购销合同</w:t>
      </w:r>
    </w:p>
    <w:p w14:paraId="300E62CA">
      <w:pPr>
        <w:spacing w:line="400" w:lineRule="exact"/>
        <w:jc w:val="center"/>
        <w:rPr>
          <w:rFonts w:ascii="宋体" w:hAnsi="宋体"/>
          <w:b/>
          <w:sz w:val="28"/>
          <w:szCs w:val="28"/>
        </w:rPr>
      </w:pPr>
      <w:r>
        <w:rPr>
          <w:rFonts w:hint="eastAsia" w:ascii="宋体" w:hAnsi="宋体"/>
          <w:b/>
          <w:sz w:val="28"/>
          <w:szCs w:val="28"/>
        </w:rPr>
        <w:t>（含设备、耗材试剂、后勤物资、基建工程、行业服务等）</w:t>
      </w:r>
    </w:p>
    <w:p w14:paraId="4C71C5AD">
      <w:pPr>
        <w:spacing w:line="400" w:lineRule="exact"/>
        <w:rPr>
          <w:rFonts w:ascii="宋体" w:hAnsi="宋体"/>
          <w:b/>
          <w:sz w:val="24"/>
        </w:rPr>
      </w:pPr>
      <w:r>
        <w:rPr>
          <w:rFonts w:hint="eastAsia" w:ascii="宋体" w:hAnsi="宋体"/>
          <w:b/>
          <w:sz w:val="24"/>
        </w:rPr>
        <w:t>甲方（医疗卫生机构）：内蒙古自治区人民医院</w:t>
      </w:r>
    </w:p>
    <w:p w14:paraId="13601FE3">
      <w:pPr>
        <w:spacing w:line="400" w:lineRule="exact"/>
        <w:rPr>
          <w:rFonts w:hint="eastAsia" w:ascii="宋体" w:hAnsi="宋体" w:eastAsia="宋体"/>
          <w:b/>
          <w:sz w:val="24"/>
          <w:lang w:eastAsia="zh-CN"/>
        </w:rPr>
      </w:pPr>
      <w:r>
        <w:rPr>
          <w:rFonts w:hint="eastAsia" w:ascii="宋体" w:hAnsi="宋体"/>
          <w:b/>
          <w:sz w:val="24"/>
        </w:rPr>
        <w:t>乙方（经营企业及其代理人）：</w:t>
      </w:r>
      <w:bookmarkStart w:id="0" w:name="_GoBack"/>
      <w:bookmarkEnd w:id="0"/>
    </w:p>
    <w:p w14:paraId="2988A06E">
      <w:pPr>
        <w:spacing w:line="400" w:lineRule="exact"/>
        <w:ind w:firstLine="480" w:firstLineChars="200"/>
        <w:rPr>
          <w:rFonts w:ascii="宋体" w:hAnsi="宋体"/>
          <w:sz w:val="24"/>
        </w:rPr>
      </w:pPr>
      <w:r>
        <w:rPr>
          <w:rFonts w:hint="eastAsia" w:ascii="宋体" w:hAnsi="宋体"/>
          <w:sz w:val="24"/>
        </w:rPr>
        <w:t>为进一步加强医疗卫生行风建设，规范医疗卫生机构医药购销行为，有效防范商业贿赂行为，营造公平交易、诚实守信的购销环境，经甲、乙双方协商，同意签订本合同，并共同遵守：</w:t>
      </w:r>
    </w:p>
    <w:p w14:paraId="31414F32">
      <w:pPr>
        <w:spacing w:line="400" w:lineRule="exact"/>
        <w:ind w:firstLine="491" w:firstLineChars="205"/>
        <w:rPr>
          <w:rFonts w:ascii="宋体" w:hAnsi="宋体"/>
          <w:sz w:val="24"/>
        </w:rPr>
      </w:pPr>
      <w:r>
        <w:rPr>
          <w:rFonts w:hint="eastAsia" w:ascii="宋体" w:hAnsi="宋体"/>
          <w:sz w:val="24"/>
        </w:rPr>
        <w:t>一、甲乙双方按照《中华人民共和国民法典》及产品购销合同约定购销医用设备、医用耗材试剂、后勤物资、基建工程、行业服务等产品。</w:t>
      </w:r>
    </w:p>
    <w:p w14:paraId="74B545DE">
      <w:pPr>
        <w:spacing w:line="400" w:lineRule="exact"/>
        <w:ind w:firstLine="491" w:firstLineChars="205"/>
        <w:rPr>
          <w:rFonts w:ascii="宋体" w:hAnsi="宋体"/>
          <w:sz w:val="24"/>
        </w:rPr>
      </w:pPr>
      <w:r>
        <w:rPr>
          <w:rFonts w:hint="eastAsia" w:ascii="宋体" w:hAnsi="宋体"/>
          <w:sz w:val="24"/>
        </w:rPr>
        <w:t>二、甲方应当严格执行产品购销合同履约验收、入库制度，对采购产品及发票进行查验，不得违反有关规定合同外采购、违价采购或从非规定渠道采购。</w:t>
      </w:r>
    </w:p>
    <w:p w14:paraId="00BEB365">
      <w:pPr>
        <w:spacing w:line="400" w:lineRule="exact"/>
        <w:ind w:firstLine="491" w:firstLineChars="205"/>
        <w:rPr>
          <w:rFonts w:ascii="宋体" w:hAnsi="宋体"/>
          <w:sz w:val="24"/>
        </w:rPr>
      </w:pPr>
      <w:r>
        <w:rPr>
          <w:rFonts w:hint="eastAsia" w:ascii="宋体" w:hAnsi="宋体"/>
          <w:sz w:val="24"/>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w:t>
      </w:r>
    </w:p>
    <w:p w14:paraId="7C8650DB">
      <w:pPr>
        <w:spacing w:line="400" w:lineRule="exact"/>
        <w:ind w:firstLine="491" w:firstLineChars="205"/>
        <w:rPr>
          <w:rFonts w:ascii="宋体" w:hAnsi="宋体"/>
          <w:sz w:val="24"/>
        </w:rPr>
      </w:pPr>
      <w:r>
        <w:rPr>
          <w:rFonts w:hint="eastAsia" w:ascii="宋体" w:hAnsi="宋体"/>
          <w:sz w:val="24"/>
        </w:rPr>
        <w:t>四、严禁甲方工作人员利用任何途径和方式，为经营商提供采购的任何信息。</w:t>
      </w:r>
    </w:p>
    <w:p w14:paraId="51812B31">
      <w:pPr>
        <w:spacing w:line="400" w:lineRule="exact"/>
        <w:ind w:firstLine="491" w:firstLineChars="205"/>
        <w:rPr>
          <w:rFonts w:ascii="宋体" w:hAnsi="宋体"/>
          <w:sz w:val="24"/>
        </w:rPr>
      </w:pPr>
      <w:r>
        <w:rPr>
          <w:rFonts w:hint="eastAsia" w:ascii="宋体" w:hAnsi="宋体"/>
          <w:sz w:val="24"/>
        </w:rPr>
        <w:t>五、乙方不得以回扣、宴请等违反廉洁方式影响甲方工作人员采购项目的正常运行。</w:t>
      </w:r>
    </w:p>
    <w:p w14:paraId="7D8C8EA1">
      <w:pPr>
        <w:spacing w:line="400" w:lineRule="exact"/>
        <w:ind w:firstLine="491" w:firstLineChars="205"/>
        <w:rPr>
          <w:rFonts w:ascii="宋体" w:hAnsi="宋体"/>
          <w:sz w:val="24"/>
        </w:rPr>
      </w:pPr>
      <w:r>
        <w:rPr>
          <w:rFonts w:hint="eastAsia" w:ascii="宋体" w:hAnsi="宋体"/>
          <w:sz w:val="24"/>
        </w:rPr>
        <w:t>六、乙方指定（加盖公章）</w:t>
      </w:r>
      <w:r>
        <w:rPr>
          <w:rFonts w:hint="eastAsia" w:ascii="宋体" w:hAnsi="宋体"/>
          <w:sz w:val="24"/>
          <w:u w:val="single"/>
        </w:rPr>
        <w:t xml:space="preserve">     </w:t>
      </w:r>
      <w:r>
        <w:rPr>
          <w:rFonts w:hint="eastAsia" w:ascii="宋体" w:hAnsi="宋体"/>
          <w:sz w:val="24"/>
        </w:rPr>
        <w:t>作为销售代表洽谈业务。销售代表必须在工作时间到甲方指定地点联系商谈，不得到住院部、门诊部、医技科室及相关部门推销医疗设备、医用耗材试剂、后勤物资等产品，不得借故到甲方相关领导、部门负责人及相关工作人员家中访谈并提供任何好处费。</w:t>
      </w:r>
    </w:p>
    <w:p w14:paraId="3E6C33A8">
      <w:pPr>
        <w:spacing w:line="400" w:lineRule="exact"/>
        <w:ind w:firstLine="491" w:firstLineChars="205"/>
        <w:rPr>
          <w:rFonts w:ascii="宋体" w:hAnsi="宋体"/>
          <w:sz w:val="24"/>
        </w:rPr>
      </w:pPr>
      <w:r>
        <w:rPr>
          <w:rFonts w:hint="eastAsia" w:ascii="宋体" w:hAnsi="宋体"/>
          <w:sz w:val="24"/>
        </w:rPr>
        <w:t>七、乙方不得以任何名义到医院各部门咨询采购项目的采购信息，不得干扰医院正常的采购行为。</w:t>
      </w:r>
    </w:p>
    <w:p w14:paraId="3B2BFFDD">
      <w:pPr>
        <w:spacing w:line="400" w:lineRule="exact"/>
        <w:ind w:firstLine="491" w:firstLineChars="205"/>
        <w:rPr>
          <w:rFonts w:ascii="宋体" w:hAnsi="宋体"/>
          <w:sz w:val="24"/>
        </w:rPr>
      </w:pPr>
      <w:r>
        <w:rPr>
          <w:rFonts w:hint="eastAsia" w:ascii="宋体" w:hAnsi="宋体"/>
          <w:sz w:val="24"/>
        </w:rPr>
        <w:t>八、乙方不得代替科室交接文件材料或参与院内采购流程。</w:t>
      </w:r>
    </w:p>
    <w:p w14:paraId="3FD33B62">
      <w:pPr>
        <w:spacing w:line="400" w:lineRule="exact"/>
        <w:ind w:firstLine="491" w:firstLineChars="205"/>
        <w:rPr>
          <w:rFonts w:ascii="宋体" w:hAnsi="宋体"/>
          <w:sz w:val="24"/>
        </w:rPr>
      </w:pPr>
      <w:r>
        <w:rPr>
          <w:rFonts w:hint="eastAsia" w:ascii="宋体" w:hAnsi="宋体"/>
          <w:sz w:val="24"/>
        </w:rPr>
        <w:t>九、乙方在销售活动中，要遵守相关法律法规，严格执行合同条款，不以次充好，不降低产品质量，做到诚信经营。</w:t>
      </w:r>
    </w:p>
    <w:p w14:paraId="738292E8">
      <w:pPr>
        <w:spacing w:line="400" w:lineRule="exact"/>
        <w:ind w:firstLine="491" w:firstLineChars="205"/>
        <w:rPr>
          <w:rFonts w:ascii="宋体" w:hAnsi="宋体"/>
          <w:sz w:val="24"/>
        </w:rPr>
      </w:pPr>
      <w:r>
        <w:rPr>
          <w:rFonts w:hint="eastAsia" w:ascii="宋体" w:hAnsi="宋体"/>
          <w:sz w:val="24"/>
        </w:rPr>
        <w:t>十、乙方如违反本合同，一经发现，甲方有权终止购销合同，列入医院不良记录供应商名单，并向有关卫生计生行政部门报告。如乙方被列入商业贿赂不良记录，则按照《国家卫生计生委关于建立医药购销领域商业贿赂不良记录的规定》（国卫法制发[2013]50号）相关规定处理。</w:t>
      </w:r>
    </w:p>
    <w:p w14:paraId="43B8596B">
      <w:pPr>
        <w:spacing w:line="400" w:lineRule="exact"/>
        <w:ind w:firstLine="491" w:firstLineChars="205"/>
        <w:rPr>
          <w:rFonts w:ascii="宋体" w:hAnsi="宋体"/>
          <w:sz w:val="24"/>
        </w:rPr>
      </w:pPr>
      <w:r>
        <w:rPr>
          <w:rFonts w:hint="eastAsia" w:ascii="宋体" w:hAnsi="宋体"/>
          <w:sz w:val="24"/>
        </w:rPr>
        <w:t>十一、本合同作为产品购销合同的重要组成部分，与产品购销合同一并执行，具有同等的法律效力。</w:t>
      </w:r>
    </w:p>
    <w:p w14:paraId="7AB7CA20">
      <w:pPr>
        <w:widowControl/>
        <w:ind w:firstLine="361" w:firstLineChars="100"/>
        <w:jc w:val="center"/>
        <w:rPr>
          <w:rFonts w:asciiTheme="minorEastAsia" w:hAnsiTheme="minorEastAsia" w:eastAsiaTheme="minorEastAsia" w:cstheme="minorEastAsia"/>
          <w:b/>
          <w:bCs/>
          <w:sz w:val="36"/>
          <w:szCs w:val="36"/>
        </w:rPr>
      </w:pPr>
    </w:p>
    <w:p w14:paraId="3A4A635D">
      <w:pPr>
        <w:widowControl/>
        <w:ind w:firstLine="361" w:firstLineChars="100"/>
        <w:jc w:val="center"/>
        <w:rPr>
          <w:rFonts w:asciiTheme="minorEastAsia" w:hAnsiTheme="minorEastAsia" w:eastAsiaTheme="minorEastAsia" w:cstheme="minorEastAsia"/>
          <w:b/>
          <w:bCs/>
          <w:sz w:val="36"/>
          <w:szCs w:val="36"/>
        </w:rPr>
      </w:pPr>
    </w:p>
    <w:p w14:paraId="057DD5F1">
      <w:pPr>
        <w:pStyle w:val="5"/>
        <w:spacing w:line="360" w:lineRule="auto"/>
        <w:rPr>
          <w:rFonts w:asciiTheme="minorEastAsia" w:hAnsiTheme="minorEastAsia" w:eastAsiaTheme="minorEastAsia" w:cstheme="minorEastAsia"/>
          <w:b/>
          <w:bCs/>
          <w:sz w:val="36"/>
          <w:szCs w:val="36"/>
        </w:rPr>
      </w:pPr>
      <w:r>
        <w:rPr>
          <w:rFonts w:hint="eastAsia" w:hAnsi="宋体"/>
          <w:sz w:val="24"/>
          <w:szCs w:val="24"/>
        </w:rPr>
        <w:t>附件3：医疗设备配置清单</w:t>
      </w:r>
    </w:p>
    <w:tbl>
      <w:tblPr>
        <w:tblStyle w:val="9"/>
        <w:tblpPr w:leftFromText="180" w:rightFromText="180" w:vertAnchor="text" w:horzAnchor="page" w:tblpX="1628" w:tblpY="18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3168"/>
        <w:gridCol w:w="3204"/>
        <w:gridCol w:w="1144"/>
      </w:tblGrid>
      <w:tr w14:paraId="6D90D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20" w:type="dxa"/>
            <w:vAlign w:val="center"/>
          </w:tcPr>
          <w:p w14:paraId="76404643">
            <w:pPr>
              <w:spacing w:line="400" w:lineRule="exact"/>
              <w:jc w:val="center"/>
              <w:rPr>
                <w:rFonts w:hint="eastAsia" w:asciiTheme="minorEastAsia" w:hAnsiTheme="minorEastAsia" w:eastAsiaTheme="minorEastAsia"/>
                <w:b/>
                <w:szCs w:val="21"/>
              </w:rPr>
            </w:pPr>
            <w:r>
              <w:rPr>
                <w:rFonts w:hint="eastAsia" w:asciiTheme="minorEastAsia" w:hAnsiTheme="minorEastAsia" w:eastAsiaTheme="minorEastAsia"/>
                <w:b/>
                <w:szCs w:val="21"/>
              </w:rPr>
              <w:t>设备名称</w:t>
            </w:r>
          </w:p>
        </w:tc>
        <w:tc>
          <w:tcPr>
            <w:tcW w:w="3168" w:type="dxa"/>
            <w:vAlign w:val="center"/>
          </w:tcPr>
          <w:p w14:paraId="1AD45FF8">
            <w:pPr>
              <w:spacing w:line="400" w:lineRule="exact"/>
              <w:jc w:val="center"/>
              <w:rPr>
                <w:rFonts w:hint="eastAsia" w:asciiTheme="minorEastAsia" w:hAnsiTheme="minorEastAsia" w:eastAsiaTheme="minorEastAsia"/>
                <w:b/>
                <w:szCs w:val="21"/>
              </w:rPr>
            </w:pPr>
            <w:r>
              <w:rPr>
                <w:rFonts w:hint="eastAsia" w:asciiTheme="minorEastAsia" w:hAnsiTheme="minorEastAsia" w:eastAsiaTheme="minorEastAsia"/>
                <w:b/>
                <w:szCs w:val="21"/>
              </w:rPr>
              <w:t>配件名称</w:t>
            </w:r>
          </w:p>
        </w:tc>
        <w:tc>
          <w:tcPr>
            <w:tcW w:w="3204" w:type="dxa"/>
            <w:vAlign w:val="center"/>
          </w:tcPr>
          <w:p w14:paraId="607268A9">
            <w:pPr>
              <w:spacing w:line="400" w:lineRule="exact"/>
              <w:jc w:val="center"/>
              <w:rPr>
                <w:rFonts w:hint="eastAsia" w:asciiTheme="minorEastAsia" w:hAnsiTheme="minorEastAsia" w:eastAsiaTheme="minorEastAsia"/>
                <w:b/>
                <w:szCs w:val="21"/>
              </w:rPr>
            </w:pPr>
            <w:r>
              <w:rPr>
                <w:rFonts w:hint="eastAsia" w:asciiTheme="minorEastAsia" w:hAnsiTheme="minorEastAsia" w:eastAsiaTheme="minorEastAsia"/>
                <w:b/>
                <w:szCs w:val="21"/>
              </w:rPr>
              <w:t>型号规格</w:t>
            </w:r>
          </w:p>
        </w:tc>
        <w:tc>
          <w:tcPr>
            <w:tcW w:w="1144" w:type="dxa"/>
            <w:vAlign w:val="center"/>
          </w:tcPr>
          <w:p w14:paraId="202604BF">
            <w:pPr>
              <w:spacing w:line="400" w:lineRule="exact"/>
              <w:jc w:val="center"/>
              <w:rPr>
                <w:rFonts w:hint="eastAsia" w:asciiTheme="minorEastAsia" w:hAnsiTheme="minorEastAsia" w:eastAsiaTheme="minorEastAsia"/>
                <w:b/>
                <w:szCs w:val="21"/>
              </w:rPr>
            </w:pPr>
            <w:r>
              <w:rPr>
                <w:rFonts w:hint="eastAsia" w:asciiTheme="minorEastAsia" w:hAnsiTheme="minorEastAsia" w:eastAsiaTheme="minorEastAsia"/>
                <w:b/>
                <w:szCs w:val="21"/>
              </w:rPr>
              <w:t>数量</w:t>
            </w:r>
          </w:p>
        </w:tc>
      </w:tr>
      <w:tr w14:paraId="63438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20" w:type="dxa"/>
            <w:vMerge w:val="restart"/>
            <w:vAlign w:val="center"/>
          </w:tcPr>
          <w:p w14:paraId="3E25348C">
            <w:pPr>
              <w:spacing w:line="400" w:lineRule="exact"/>
              <w:jc w:val="center"/>
              <w:rPr>
                <w:rFonts w:hint="eastAsia" w:asciiTheme="minorEastAsia" w:hAnsiTheme="minorEastAsia" w:eastAsiaTheme="minorEastAsia"/>
                <w:b/>
                <w:szCs w:val="21"/>
              </w:rPr>
            </w:pPr>
          </w:p>
        </w:tc>
        <w:tc>
          <w:tcPr>
            <w:tcW w:w="3168" w:type="dxa"/>
            <w:vAlign w:val="center"/>
          </w:tcPr>
          <w:p w14:paraId="345DBF98">
            <w:pPr>
              <w:spacing w:line="400" w:lineRule="exact"/>
              <w:jc w:val="center"/>
              <w:rPr>
                <w:rFonts w:hint="eastAsia" w:asciiTheme="minorEastAsia" w:hAnsiTheme="minorEastAsia" w:eastAsiaTheme="minorEastAsia"/>
                <w:b/>
                <w:szCs w:val="21"/>
              </w:rPr>
            </w:pPr>
          </w:p>
        </w:tc>
        <w:tc>
          <w:tcPr>
            <w:tcW w:w="3204" w:type="dxa"/>
            <w:vAlign w:val="center"/>
          </w:tcPr>
          <w:p w14:paraId="0B8BF0CE">
            <w:pPr>
              <w:spacing w:line="400" w:lineRule="exact"/>
              <w:jc w:val="center"/>
              <w:rPr>
                <w:rFonts w:hint="eastAsia" w:asciiTheme="minorEastAsia" w:hAnsiTheme="minorEastAsia" w:eastAsiaTheme="minorEastAsia"/>
                <w:b/>
                <w:szCs w:val="21"/>
              </w:rPr>
            </w:pPr>
          </w:p>
        </w:tc>
        <w:tc>
          <w:tcPr>
            <w:tcW w:w="1144" w:type="dxa"/>
            <w:vAlign w:val="center"/>
          </w:tcPr>
          <w:p w14:paraId="12A1C65C">
            <w:pPr>
              <w:spacing w:line="400" w:lineRule="exact"/>
              <w:jc w:val="center"/>
              <w:rPr>
                <w:rFonts w:hint="eastAsia" w:asciiTheme="minorEastAsia" w:hAnsiTheme="minorEastAsia" w:eastAsiaTheme="minorEastAsia"/>
                <w:b/>
                <w:szCs w:val="21"/>
              </w:rPr>
            </w:pPr>
          </w:p>
        </w:tc>
      </w:tr>
      <w:tr w14:paraId="590E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20" w:type="dxa"/>
            <w:vMerge w:val="continue"/>
            <w:vAlign w:val="center"/>
          </w:tcPr>
          <w:p w14:paraId="3C9F9AD6">
            <w:pPr>
              <w:spacing w:line="400" w:lineRule="exact"/>
              <w:jc w:val="center"/>
              <w:rPr>
                <w:rFonts w:hint="eastAsia" w:asciiTheme="minorEastAsia" w:hAnsiTheme="minorEastAsia" w:eastAsiaTheme="minorEastAsia"/>
                <w:b/>
                <w:szCs w:val="21"/>
              </w:rPr>
            </w:pPr>
          </w:p>
        </w:tc>
        <w:tc>
          <w:tcPr>
            <w:tcW w:w="3168" w:type="dxa"/>
            <w:vAlign w:val="center"/>
          </w:tcPr>
          <w:p w14:paraId="5203E213">
            <w:pPr>
              <w:spacing w:line="400" w:lineRule="exact"/>
              <w:jc w:val="center"/>
              <w:rPr>
                <w:rFonts w:hint="eastAsia" w:asciiTheme="minorEastAsia" w:hAnsiTheme="minorEastAsia" w:eastAsiaTheme="minorEastAsia"/>
                <w:b/>
                <w:szCs w:val="21"/>
              </w:rPr>
            </w:pPr>
          </w:p>
        </w:tc>
        <w:tc>
          <w:tcPr>
            <w:tcW w:w="3204" w:type="dxa"/>
            <w:vAlign w:val="center"/>
          </w:tcPr>
          <w:p w14:paraId="7A04E70A">
            <w:pPr>
              <w:spacing w:line="400" w:lineRule="exact"/>
              <w:jc w:val="center"/>
              <w:rPr>
                <w:rFonts w:hint="eastAsia" w:asciiTheme="minorEastAsia" w:hAnsiTheme="minorEastAsia" w:eastAsiaTheme="minorEastAsia"/>
                <w:b/>
                <w:szCs w:val="21"/>
              </w:rPr>
            </w:pPr>
          </w:p>
        </w:tc>
        <w:tc>
          <w:tcPr>
            <w:tcW w:w="1144" w:type="dxa"/>
            <w:vAlign w:val="center"/>
          </w:tcPr>
          <w:p w14:paraId="2920594E">
            <w:pPr>
              <w:spacing w:line="400" w:lineRule="exact"/>
              <w:jc w:val="center"/>
              <w:rPr>
                <w:rFonts w:hint="eastAsia" w:asciiTheme="minorEastAsia" w:hAnsiTheme="minorEastAsia" w:eastAsiaTheme="minorEastAsia"/>
                <w:b/>
                <w:szCs w:val="21"/>
              </w:rPr>
            </w:pPr>
          </w:p>
        </w:tc>
      </w:tr>
      <w:tr w14:paraId="28E2B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20" w:type="dxa"/>
            <w:vMerge w:val="continue"/>
            <w:vAlign w:val="center"/>
          </w:tcPr>
          <w:p w14:paraId="6C18DE54">
            <w:pPr>
              <w:spacing w:line="400" w:lineRule="exact"/>
              <w:jc w:val="center"/>
              <w:rPr>
                <w:rFonts w:hint="eastAsia" w:asciiTheme="minorEastAsia" w:hAnsiTheme="minorEastAsia" w:eastAsiaTheme="minorEastAsia"/>
                <w:b/>
                <w:szCs w:val="21"/>
              </w:rPr>
            </w:pPr>
          </w:p>
        </w:tc>
        <w:tc>
          <w:tcPr>
            <w:tcW w:w="3168" w:type="dxa"/>
            <w:vAlign w:val="center"/>
          </w:tcPr>
          <w:p w14:paraId="11163980">
            <w:pPr>
              <w:spacing w:line="400" w:lineRule="exact"/>
              <w:jc w:val="center"/>
              <w:rPr>
                <w:rFonts w:hint="eastAsia" w:asciiTheme="minorEastAsia" w:hAnsiTheme="minorEastAsia" w:eastAsiaTheme="minorEastAsia"/>
                <w:b/>
                <w:szCs w:val="21"/>
              </w:rPr>
            </w:pPr>
          </w:p>
        </w:tc>
        <w:tc>
          <w:tcPr>
            <w:tcW w:w="3204" w:type="dxa"/>
            <w:vAlign w:val="center"/>
          </w:tcPr>
          <w:p w14:paraId="1CA89614">
            <w:pPr>
              <w:spacing w:line="400" w:lineRule="exact"/>
              <w:jc w:val="center"/>
              <w:rPr>
                <w:rFonts w:hint="eastAsia" w:asciiTheme="minorEastAsia" w:hAnsiTheme="minorEastAsia" w:eastAsiaTheme="minorEastAsia"/>
                <w:b/>
                <w:szCs w:val="21"/>
              </w:rPr>
            </w:pPr>
          </w:p>
        </w:tc>
        <w:tc>
          <w:tcPr>
            <w:tcW w:w="1144" w:type="dxa"/>
            <w:vAlign w:val="center"/>
          </w:tcPr>
          <w:p w14:paraId="0A92480C">
            <w:pPr>
              <w:spacing w:line="400" w:lineRule="exact"/>
              <w:jc w:val="center"/>
              <w:rPr>
                <w:rFonts w:hint="eastAsia" w:asciiTheme="minorEastAsia" w:hAnsiTheme="minorEastAsia" w:eastAsiaTheme="minorEastAsia"/>
                <w:b/>
                <w:szCs w:val="21"/>
              </w:rPr>
            </w:pPr>
          </w:p>
        </w:tc>
      </w:tr>
      <w:tr w14:paraId="39DCE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20" w:type="dxa"/>
            <w:vMerge w:val="continue"/>
            <w:vAlign w:val="center"/>
          </w:tcPr>
          <w:p w14:paraId="59B9580F">
            <w:pPr>
              <w:spacing w:line="400" w:lineRule="exact"/>
              <w:jc w:val="center"/>
              <w:rPr>
                <w:rFonts w:hint="eastAsia" w:asciiTheme="minorEastAsia" w:hAnsiTheme="minorEastAsia" w:eastAsiaTheme="minorEastAsia"/>
                <w:b/>
                <w:szCs w:val="21"/>
              </w:rPr>
            </w:pPr>
          </w:p>
        </w:tc>
        <w:tc>
          <w:tcPr>
            <w:tcW w:w="3168" w:type="dxa"/>
            <w:vAlign w:val="center"/>
          </w:tcPr>
          <w:p w14:paraId="36742824">
            <w:pPr>
              <w:spacing w:line="400" w:lineRule="exact"/>
              <w:jc w:val="center"/>
              <w:rPr>
                <w:rFonts w:hint="eastAsia" w:asciiTheme="minorEastAsia" w:hAnsiTheme="minorEastAsia" w:eastAsiaTheme="minorEastAsia"/>
                <w:b/>
                <w:szCs w:val="21"/>
              </w:rPr>
            </w:pPr>
          </w:p>
        </w:tc>
        <w:tc>
          <w:tcPr>
            <w:tcW w:w="3204" w:type="dxa"/>
            <w:vAlign w:val="center"/>
          </w:tcPr>
          <w:p w14:paraId="2134CE1D">
            <w:pPr>
              <w:spacing w:line="400" w:lineRule="exact"/>
              <w:jc w:val="center"/>
              <w:rPr>
                <w:rFonts w:hint="eastAsia" w:asciiTheme="minorEastAsia" w:hAnsiTheme="minorEastAsia" w:eastAsiaTheme="minorEastAsia"/>
                <w:b/>
                <w:szCs w:val="21"/>
              </w:rPr>
            </w:pPr>
          </w:p>
        </w:tc>
        <w:tc>
          <w:tcPr>
            <w:tcW w:w="1144" w:type="dxa"/>
            <w:vAlign w:val="center"/>
          </w:tcPr>
          <w:p w14:paraId="01D3EAA2">
            <w:pPr>
              <w:spacing w:line="400" w:lineRule="exact"/>
              <w:jc w:val="center"/>
              <w:rPr>
                <w:rFonts w:hint="eastAsia" w:asciiTheme="minorEastAsia" w:hAnsiTheme="minorEastAsia" w:eastAsiaTheme="minorEastAsia"/>
                <w:b/>
                <w:szCs w:val="21"/>
              </w:rPr>
            </w:pPr>
          </w:p>
        </w:tc>
      </w:tr>
    </w:tbl>
    <w:p w14:paraId="2F1B9472">
      <w:pPr>
        <w:widowControl/>
        <w:jc w:val="both"/>
        <w:rPr>
          <w:rFonts w:hint="default" w:ascii="宋体" w:hAnsi="宋体"/>
          <w:sz w:val="24"/>
          <w:szCs w:val="24"/>
          <w:lang w:val="en-US" w:eastAsia="zh-CN"/>
        </w:rPr>
      </w:pPr>
      <w:r>
        <w:rPr>
          <w:rFonts w:hint="eastAsia" w:ascii="宋体" w:hAnsi="宋体"/>
          <w:sz w:val="28"/>
          <w:szCs w:val="28"/>
          <w:lang w:val="en-US" w:eastAsia="zh-CN"/>
        </w:rPr>
        <w:t xml:space="preserve"> </w:t>
      </w:r>
      <w:r>
        <w:rPr>
          <w:rFonts w:hint="eastAsia" w:ascii="宋体" w:hAnsi="宋体"/>
          <w:sz w:val="24"/>
          <w:szCs w:val="24"/>
          <w:lang w:val="en-US" w:eastAsia="zh-CN"/>
        </w:rPr>
        <w:t xml:space="preserve"> </w:t>
      </w:r>
    </w:p>
    <w:p w14:paraId="0B00E427">
      <w:pPr>
        <w:widowControl/>
        <w:ind w:firstLine="4620" w:firstLineChars="1650"/>
        <w:jc w:val="left"/>
      </w:pPr>
      <w:r>
        <w:rPr>
          <w:rFonts w:hint="eastAsia" w:ascii="宋体" w:hAnsi="宋体"/>
          <w:sz w:val="28"/>
          <w:szCs w:val="28"/>
        </w:rPr>
        <w:t>（本合同配置以招投标文件为准）</w:t>
      </w:r>
    </w:p>
    <w:sectPr>
      <w:footerReference r:id="rId10" w:type="first"/>
      <w:footerReference r:id="rId9" w:type="default"/>
      <w:pgSz w:w="11906" w:h="16838"/>
      <w:pgMar w:top="1047" w:right="1418" w:bottom="1247" w:left="1418" w:header="851" w:footer="567"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A584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B8738">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50029">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D8B15">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AC400C">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3CAC400C">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9B004">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F8CCEE">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9F8CCEE">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1F6EB">
    <w:pPr>
      <w:pStyle w:val="7"/>
      <w:pBdr>
        <w:bottom w:val="none" w:color="auto" w:sz="0" w:space="0"/>
      </w:pBdr>
      <w:tabs>
        <w:tab w:val="left" w:pos="2610"/>
      </w:tabs>
      <w:jc w:val="both"/>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8B83B">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6E2A4">
    <w:pPr>
      <w:pStyle w:val="7"/>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zOGU1MmJlNjZiMzQ1ZWQyNDg4ZGRhYjBmNTY1MmYifQ=="/>
  </w:docVars>
  <w:rsids>
    <w:rsidRoot w:val="74985877"/>
    <w:rsid w:val="05614FCE"/>
    <w:rsid w:val="0C122490"/>
    <w:rsid w:val="0E2C45FA"/>
    <w:rsid w:val="100B66F5"/>
    <w:rsid w:val="131F75CC"/>
    <w:rsid w:val="186E72CD"/>
    <w:rsid w:val="1A242505"/>
    <w:rsid w:val="1ADE41AE"/>
    <w:rsid w:val="25EE4745"/>
    <w:rsid w:val="26F470FC"/>
    <w:rsid w:val="2D6118BF"/>
    <w:rsid w:val="37FB3907"/>
    <w:rsid w:val="42AB3FC5"/>
    <w:rsid w:val="453334FE"/>
    <w:rsid w:val="46C01A44"/>
    <w:rsid w:val="49444226"/>
    <w:rsid w:val="4AF31F03"/>
    <w:rsid w:val="4F8940AC"/>
    <w:rsid w:val="518F12FC"/>
    <w:rsid w:val="54D0274C"/>
    <w:rsid w:val="5CF37B23"/>
    <w:rsid w:val="610B6CD7"/>
    <w:rsid w:val="65284E6E"/>
    <w:rsid w:val="677D41D2"/>
    <w:rsid w:val="6D857298"/>
    <w:rsid w:val="72476F49"/>
    <w:rsid w:val="74985877"/>
    <w:rsid w:val="7E091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ody Text Indent"/>
    <w:basedOn w:val="1"/>
    <w:next w:val="4"/>
    <w:qFormat/>
    <w:uiPriority w:val="0"/>
    <w:pPr>
      <w:spacing w:line="360" w:lineRule="auto"/>
      <w:ind w:firstLine="480" w:firstLineChars="200"/>
    </w:pPr>
    <w:rPr>
      <w:rFonts w:hAnsi="宋体"/>
      <w:sz w:val="24"/>
    </w:rPr>
  </w:style>
  <w:style w:type="paragraph" w:styleId="4">
    <w:name w:val="envelope return"/>
    <w:basedOn w:val="1"/>
    <w:qFormat/>
    <w:uiPriority w:val="0"/>
    <w:pPr>
      <w:snapToGrid w:val="0"/>
    </w:pPr>
    <w:rPr>
      <w:rFonts w:ascii="Arial" w:hAnsi="Arial"/>
    </w:rPr>
  </w:style>
  <w:style w:type="paragraph" w:styleId="5">
    <w:name w:val="Plain Text"/>
    <w:basedOn w:val="1"/>
    <w:qFormat/>
    <w:uiPriority w:val="0"/>
    <w:rPr>
      <w:rFonts w:ascii="宋体" w:hAnsi="Courier New"/>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Table Text"/>
    <w:basedOn w:val="1"/>
    <w:semiHidden/>
    <w:qFormat/>
    <w:uiPriority w:val="0"/>
    <w:rPr>
      <w:rFonts w:ascii="宋体" w:hAnsi="宋体" w:eastAsia="宋体" w:cs="宋体"/>
      <w:sz w:val="17"/>
      <w:szCs w:val="17"/>
      <w:lang w:val="en-US" w:eastAsia="en-US" w:bidi="ar-SA"/>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3819</Words>
  <Characters>3954</Characters>
  <Lines>0</Lines>
  <Paragraphs>0</Paragraphs>
  <TotalTime>5</TotalTime>
  <ScaleCrop>false</ScaleCrop>
  <LinksUpToDate>false</LinksUpToDate>
  <CharactersWithSpaces>4242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2024-09-05T03:06:00Z</dcterms:created>
  <dc:creator>YQ</dc:creator>
  <cp:lastModifiedBy> 黑</cp:lastModifiedBy>
  <cp:lastPrinted>2024-11-25T07:19:00Z</cp:lastPrinted>
  <dcterms:modified xsi:type="dcterms:W3CDTF">2025-08-26T08:59:20Z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988FC65FCA5D4638A210192A002189DA_12</vt:lpwstr>
  </property>
  <property fmtid="{D5CDD505-2E9C-101B-9397-08002B2CF9AE}" pid="4" name="KSOTemplateDocerSaveRecord">
    <vt:lpwstr>eyJoZGlkIjoiMDMzOGU1MmJlNjZiMzQ1ZWQyNDg4ZGRhYjBmNTY1MmYiLCJ1c2VySWQiOiIyNzE4MzgxOTUifQ==</vt:lpwstr>
  </property>
</Properties>
</file>