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snapToGrid w:val="0"/>
        <w:spacing w:line="360" w:lineRule="auto"/>
        <w:jc w:val="left"/>
        <w:rPr>
          <w:rFonts w:ascii="黑体" w:hAnsi="黑体" w:eastAsia="黑体" w:cs="Times New Roman"/>
          <w:sz w:val="28"/>
          <w:szCs w:val="28"/>
        </w:rPr>
      </w:pPr>
      <w:bookmarkStart w:id="0" w:name="_GoBack"/>
      <w:bookmarkEnd w:id="0"/>
      <w:r>
        <w:rPr>
          <w:rFonts w:hint="eastAsia" w:ascii="黑体" w:hAnsi="黑体" w:eastAsia="黑体" w:cs="Times New Roman"/>
          <w:sz w:val="28"/>
          <w:szCs w:val="28"/>
        </w:rPr>
        <w:t>附件2</w:t>
      </w:r>
    </w:p>
    <w:p>
      <w:pPr>
        <w:adjustRightInd w:val="0"/>
        <w:snapToGrid w:val="0"/>
        <w:spacing w:line="360" w:lineRule="auto"/>
        <w:jc w:val="left"/>
        <w:rPr>
          <w:rFonts w:ascii="Times New Roman" w:hAnsi="Times New Roman" w:eastAsia="黑体" w:cs="Times New Roman"/>
          <w:sz w:val="28"/>
          <w:szCs w:val="28"/>
        </w:rPr>
      </w:pPr>
    </w:p>
    <w:p>
      <w:pPr>
        <w:adjustRightInd w:val="0"/>
        <w:snapToGrid w:val="0"/>
        <w:spacing w:line="360" w:lineRule="auto"/>
        <w:jc w:val="center"/>
        <w:rPr>
          <w:rFonts w:ascii="Times New Roman" w:hAnsi="Times New Roman" w:eastAsia="华文中宋" w:cs="Times New Roman"/>
          <w:b/>
          <w:sz w:val="44"/>
          <w:szCs w:val="32"/>
        </w:rPr>
      </w:pPr>
      <w:r>
        <w:rPr>
          <w:rFonts w:ascii="Times New Roman" w:hAnsi="Times New Roman" w:eastAsia="华文中宋" w:cs="Times New Roman"/>
          <w:b/>
          <w:sz w:val="44"/>
          <w:szCs w:val="32"/>
        </w:rPr>
        <w:t>内蒙古自治区重点实验室</w:t>
      </w:r>
    </w:p>
    <w:p>
      <w:pPr>
        <w:adjustRightInd w:val="0"/>
        <w:snapToGrid w:val="0"/>
        <w:spacing w:line="360" w:lineRule="auto"/>
        <w:jc w:val="center"/>
        <w:rPr>
          <w:rFonts w:ascii="Times New Roman" w:hAnsi="Times New Roman" w:eastAsia="华文中宋" w:cs="Times New Roman"/>
          <w:b/>
          <w:sz w:val="44"/>
          <w:szCs w:val="32"/>
        </w:rPr>
      </w:pPr>
      <w:r>
        <w:rPr>
          <w:rFonts w:hint="eastAsia" w:ascii="Times New Roman" w:hAnsi="Times New Roman" w:eastAsia="华文中宋" w:cs="Times New Roman"/>
          <w:b/>
          <w:sz w:val="44"/>
          <w:szCs w:val="32"/>
        </w:rPr>
        <w:t xml:space="preserve"> </w:t>
      </w:r>
      <w:r>
        <w:rPr>
          <w:rFonts w:ascii="Times New Roman" w:hAnsi="Times New Roman" w:eastAsia="华文中宋" w:cs="Times New Roman"/>
          <w:b/>
          <w:sz w:val="44"/>
          <w:szCs w:val="32"/>
        </w:rPr>
        <w:t xml:space="preserve"> 三年工作总结报告</w:t>
      </w:r>
    </w:p>
    <w:p>
      <w:pPr>
        <w:adjustRightInd w:val="0"/>
        <w:snapToGrid w:val="0"/>
        <w:spacing w:line="360" w:lineRule="auto"/>
        <w:jc w:val="center"/>
        <w:rPr>
          <w:rFonts w:ascii="Times New Roman" w:hAnsi="Times New Roman" w:eastAsia="仿宋_GB2312" w:cs="Times New Roman"/>
          <w:sz w:val="36"/>
          <w:szCs w:val="36"/>
        </w:rPr>
      </w:pPr>
    </w:p>
    <w:p>
      <w:pPr>
        <w:adjustRightInd w:val="0"/>
        <w:snapToGrid w:val="0"/>
        <w:spacing w:line="360" w:lineRule="auto"/>
        <w:jc w:val="center"/>
        <w:rPr>
          <w:rFonts w:ascii="Times New Roman" w:hAnsi="Times New Roman" w:eastAsia="仿宋_GB2312" w:cs="Times New Roman"/>
          <w:sz w:val="36"/>
          <w:szCs w:val="36"/>
        </w:rPr>
      </w:pPr>
    </w:p>
    <w:p>
      <w:pPr>
        <w:adjustRightInd w:val="0"/>
        <w:snapToGrid w:val="0"/>
        <w:spacing w:line="360" w:lineRule="auto"/>
        <w:jc w:val="center"/>
        <w:rPr>
          <w:rFonts w:ascii="Times New Roman" w:hAnsi="Times New Roman" w:eastAsia="楷体_GB2312" w:cs="Times New Roman"/>
          <w:sz w:val="24"/>
          <w:szCs w:val="28"/>
        </w:rPr>
      </w:pPr>
    </w:p>
    <w:tbl>
      <w:tblPr>
        <w:tblStyle w:val="13"/>
        <w:tblW w:w="8547" w:type="dxa"/>
        <w:jc w:val="center"/>
        <w:tblLayout w:type="fixed"/>
        <w:tblCellMar>
          <w:top w:w="0" w:type="dxa"/>
          <w:left w:w="0" w:type="dxa"/>
          <w:bottom w:w="0" w:type="dxa"/>
          <w:right w:w="0" w:type="dxa"/>
        </w:tblCellMar>
      </w:tblPr>
      <w:tblGrid>
        <w:gridCol w:w="2940"/>
        <w:gridCol w:w="5607"/>
      </w:tblGrid>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实验室名称：</w:t>
            </w:r>
          </w:p>
        </w:tc>
        <w:tc>
          <w:tcPr>
            <w:tcW w:w="5607" w:type="dxa"/>
            <w:vAlign w:val="center"/>
          </w:tcPr>
          <w:p>
            <w:pPr>
              <w:adjustRightInd w:val="0"/>
              <w:snapToGrid w:val="0"/>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内蒙古自治区内镜消化疾病重点实验室</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实验室主任：</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赵贵君</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主管部门：</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内蒙古自治区卫生健康委员会</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依托单位名称：</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内蒙古自治区人民医院</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通讯地址：</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呼和浩特市赛罕区昭乌达路20号</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b/>
                <w:sz w:val="32"/>
                <w:szCs w:val="32"/>
              </w:rPr>
            </w:pPr>
            <w:r>
              <w:rPr>
                <w:rFonts w:ascii="Times New Roman" w:hAnsi="Times New Roman" w:eastAsia="楷体_GB2312" w:cs="Times New Roman"/>
                <w:sz w:val="28"/>
                <w:szCs w:val="28"/>
              </w:rPr>
              <w:t>邮政编码：</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ascii="Times New Roman" w:hAnsi="Times New Roman" w:eastAsia="楷体_GB2312" w:cs="Times New Roman"/>
                <w:b/>
                <w:sz w:val="32"/>
                <w:szCs w:val="32"/>
              </w:rPr>
              <w:t>010017</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sz w:val="28"/>
                <w:szCs w:val="28"/>
              </w:rPr>
            </w:pPr>
            <w:r>
              <w:rPr>
                <w:rFonts w:ascii="Times New Roman" w:hAnsi="Times New Roman" w:eastAsia="楷体_GB2312" w:cs="Times New Roman"/>
                <w:sz w:val="28"/>
                <w:szCs w:val="28"/>
              </w:rPr>
              <w:t>联系人：</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hint="eastAsia" w:ascii="Times New Roman" w:hAnsi="Times New Roman" w:eastAsia="楷体_GB2312" w:cs="Times New Roman"/>
                <w:b/>
                <w:sz w:val="32"/>
                <w:szCs w:val="32"/>
              </w:rPr>
              <w:t>赵贵君</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sz w:val="28"/>
                <w:szCs w:val="28"/>
              </w:rPr>
            </w:pPr>
            <w:r>
              <w:rPr>
                <w:rFonts w:ascii="Times New Roman" w:hAnsi="Times New Roman" w:eastAsia="楷体_GB2312" w:cs="Times New Roman"/>
                <w:sz w:val="28"/>
                <w:szCs w:val="28"/>
              </w:rPr>
              <w:t>联系电话：</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ascii="Times New Roman" w:hAnsi="Times New Roman" w:eastAsia="楷体_GB2312" w:cs="Times New Roman"/>
                <w:b/>
                <w:sz w:val="32"/>
                <w:szCs w:val="32"/>
              </w:rPr>
              <w:t>04713283258</w:t>
            </w:r>
          </w:p>
        </w:tc>
      </w:tr>
      <w:tr>
        <w:tblPrEx>
          <w:tblCellMar>
            <w:top w:w="0" w:type="dxa"/>
            <w:left w:w="0" w:type="dxa"/>
            <w:bottom w:w="0" w:type="dxa"/>
            <w:right w:w="0" w:type="dxa"/>
          </w:tblCellMar>
        </w:tblPrEx>
        <w:trPr>
          <w:trHeight w:val="567" w:hRule="atLeast"/>
          <w:jc w:val="center"/>
        </w:trPr>
        <w:tc>
          <w:tcPr>
            <w:tcW w:w="2940" w:type="dxa"/>
            <w:vAlign w:val="center"/>
          </w:tcPr>
          <w:p>
            <w:pPr>
              <w:adjustRightInd w:val="0"/>
              <w:snapToGrid w:val="0"/>
              <w:jc w:val="right"/>
              <w:rPr>
                <w:rFonts w:ascii="Times New Roman" w:hAnsi="Times New Roman" w:eastAsia="楷体_GB2312" w:cs="Times New Roman"/>
                <w:sz w:val="28"/>
                <w:szCs w:val="28"/>
              </w:rPr>
            </w:pPr>
            <w:r>
              <w:rPr>
                <w:rFonts w:ascii="Times New Roman" w:hAnsi="Times New Roman" w:eastAsia="楷体_GB2312" w:cs="Times New Roman"/>
                <w:sz w:val="28"/>
                <w:szCs w:val="28"/>
              </w:rPr>
              <w:t>E-mail地址：</w:t>
            </w:r>
          </w:p>
        </w:tc>
        <w:tc>
          <w:tcPr>
            <w:tcW w:w="5607" w:type="dxa"/>
            <w:vAlign w:val="center"/>
          </w:tcPr>
          <w:p>
            <w:pPr>
              <w:adjustRightInd w:val="0"/>
              <w:snapToGrid w:val="0"/>
              <w:jc w:val="center"/>
              <w:rPr>
                <w:rFonts w:ascii="Times New Roman" w:hAnsi="Times New Roman" w:eastAsia="楷体_GB2312" w:cs="Times New Roman"/>
                <w:b/>
                <w:sz w:val="32"/>
                <w:szCs w:val="32"/>
              </w:rPr>
            </w:pPr>
            <w:r>
              <w:rPr>
                <w:rFonts w:ascii="Times New Roman" w:hAnsi="Times New Roman" w:eastAsia="楷体_GB2312" w:cs="Times New Roman"/>
                <w:b/>
                <w:sz w:val="32"/>
                <w:szCs w:val="32"/>
              </w:rPr>
              <w:t>cnzhaoguijun@163.com</w:t>
            </w:r>
          </w:p>
        </w:tc>
      </w:tr>
    </w:tbl>
    <w:p>
      <w:pPr>
        <w:adjustRightInd w:val="0"/>
        <w:snapToGrid w:val="0"/>
        <w:spacing w:line="353" w:lineRule="auto"/>
        <w:jc w:val="center"/>
        <w:rPr>
          <w:rFonts w:ascii="Times New Roman" w:hAnsi="Times New Roman" w:eastAsia="黑体" w:cs="Times New Roman"/>
          <w:sz w:val="30"/>
          <w:szCs w:val="30"/>
        </w:rPr>
      </w:pPr>
    </w:p>
    <w:p>
      <w:pPr>
        <w:adjustRightInd w:val="0"/>
        <w:snapToGrid w:val="0"/>
        <w:spacing w:line="353" w:lineRule="auto"/>
        <w:jc w:val="center"/>
        <w:rPr>
          <w:rFonts w:ascii="Times New Roman" w:hAnsi="Times New Roman" w:eastAsia="黑体" w:cs="Times New Roman"/>
          <w:sz w:val="30"/>
          <w:szCs w:val="30"/>
        </w:rPr>
      </w:pPr>
    </w:p>
    <w:p>
      <w:pPr>
        <w:adjustRightInd w:val="0"/>
        <w:snapToGrid w:val="0"/>
        <w:spacing w:line="353" w:lineRule="auto"/>
        <w:jc w:val="center"/>
        <w:rPr>
          <w:rFonts w:ascii="Times New Roman" w:hAnsi="Times New Roman" w:eastAsia="黑体" w:cs="Times New Roman"/>
          <w:sz w:val="30"/>
          <w:szCs w:val="30"/>
        </w:rPr>
      </w:pPr>
    </w:p>
    <w:p>
      <w:pPr>
        <w:adjustRightInd w:val="0"/>
        <w:snapToGrid w:val="0"/>
        <w:spacing w:line="353" w:lineRule="auto"/>
        <w:jc w:val="center"/>
        <w:rPr>
          <w:rFonts w:ascii="Times New Roman" w:hAnsi="Times New Roman" w:eastAsia="黑体" w:cs="Times New Roman"/>
          <w:sz w:val="30"/>
          <w:szCs w:val="30"/>
        </w:rPr>
      </w:pPr>
    </w:p>
    <w:p>
      <w:pPr>
        <w:adjustRightInd w:val="0"/>
        <w:snapToGrid w:val="0"/>
        <w:spacing w:line="353" w:lineRule="auto"/>
        <w:jc w:val="center"/>
        <w:rPr>
          <w:rFonts w:ascii="Times New Roman" w:hAnsi="Times New Roman" w:eastAsia="黑体" w:cs="Times New Roman"/>
          <w:sz w:val="30"/>
          <w:szCs w:val="30"/>
        </w:rPr>
      </w:pPr>
      <w:r>
        <w:rPr>
          <w:rFonts w:hint="eastAsia" w:ascii="Times New Roman" w:hAnsi="Times New Roman" w:eastAsia="黑体" w:cs="Times New Roman"/>
          <w:sz w:val="30"/>
          <w:szCs w:val="30"/>
        </w:rPr>
        <w:t>2021</w:t>
      </w:r>
      <w:r>
        <w:rPr>
          <w:rFonts w:ascii="Times New Roman" w:hAnsi="Times New Roman" w:eastAsia="黑体" w:cs="Times New Roman"/>
          <w:sz w:val="30"/>
          <w:szCs w:val="30"/>
        </w:rPr>
        <w:t>年</w:t>
      </w:r>
      <w:r>
        <w:rPr>
          <w:rFonts w:hint="eastAsia" w:ascii="Times New Roman" w:hAnsi="Times New Roman" w:eastAsia="黑体" w:cs="Times New Roman"/>
          <w:sz w:val="30"/>
          <w:szCs w:val="30"/>
        </w:rPr>
        <w:t>7</w:t>
      </w:r>
      <w:r>
        <w:rPr>
          <w:rFonts w:ascii="Times New Roman" w:hAnsi="Times New Roman" w:eastAsia="黑体" w:cs="Times New Roman"/>
          <w:sz w:val="30"/>
          <w:szCs w:val="30"/>
        </w:rPr>
        <w:t>月</w:t>
      </w:r>
      <w:r>
        <w:rPr>
          <w:rFonts w:hint="eastAsia" w:ascii="Times New Roman" w:hAnsi="Times New Roman" w:eastAsia="黑体" w:cs="Times New Roman"/>
          <w:sz w:val="30"/>
          <w:szCs w:val="30"/>
        </w:rPr>
        <w:t>26</w:t>
      </w:r>
      <w:r>
        <w:rPr>
          <w:rFonts w:ascii="Times New Roman" w:hAnsi="Times New Roman" w:eastAsia="黑体" w:cs="Times New Roman"/>
          <w:sz w:val="30"/>
          <w:szCs w:val="30"/>
        </w:rPr>
        <w:t>日 填报</w:t>
      </w:r>
    </w:p>
    <w:p>
      <w:pPr>
        <w:adjustRightInd w:val="0"/>
        <w:snapToGrid w:val="0"/>
        <w:spacing w:line="353" w:lineRule="auto"/>
        <w:jc w:val="center"/>
        <w:outlineLvl w:val="0"/>
        <w:rPr>
          <w:rFonts w:ascii="Times New Roman" w:hAnsi="Times New Roman" w:eastAsia="黑体" w:cs="Times New Roman"/>
          <w:sz w:val="24"/>
          <w:szCs w:val="30"/>
        </w:rPr>
      </w:pPr>
    </w:p>
    <w:p>
      <w:pPr>
        <w:adjustRightInd w:val="0"/>
        <w:snapToGrid w:val="0"/>
        <w:spacing w:line="353" w:lineRule="auto"/>
        <w:jc w:val="center"/>
        <w:outlineLvl w:val="0"/>
        <w:rPr>
          <w:rFonts w:ascii="Times New Roman" w:hAnsi="Times New Roman" w:eastAsia="黑体" w:cs="Times New Roman"/>
          <w:sz w:val="24"/>
          <w:szCs w:val="30"/>
        </w:rPr>
      </w:pPr>
      <w:r>
        <w:rPr>
          <w:rFonts w:ascii="Times New Roman" w:hAnsi="Times New Roman" w:eastAsia="黑体" w:cs="Times New Roman"/>
          <w:sz w:val="24"/>
          <w:szCs w:val="30"/>
        </w:rPr>
        <w:t>2021年制</w:t>
      </w:r>
    </w:p>
    <w:p>
      <w:pPr>
        <w:snapToGrid w:val="0"/>
        <w:spacing w:after="156" w:afterLines="50" w:line="360" w:lineRule="auto"/>
        <w:jc w:val="center"/>
        <w:rPr>
          <w:rFonts w:ascii="黑体" w:hAnsi="黑体" w:eastAsia="黑体" w:cs="Times New Roman"/>
          <w:sz w:val="36"/>
          <w:szCs w:val="36"/>
        </w:rPr>
      </w:pPr>
    </w:p>
    <w:p>
      <w:pPr>
        <w:snapToGrid w:val="0"/>
        <w:spacing w:after="156" w:afterLines="50" w:line="360" w:lineRule="auto"/>
        <w:jc w:val="center"/>
        <w:rPr>
          <w:rFonts w:ascii="黑体" w:hAnsi="黑体" w:eastAsia="黑体" w:cs="Times New Roman"/>
          <w:sz w:val="36"/>
          <w:szCs w:val="36"/>
        </w:rPr>
      </w:pPr>
      <w:r>
        <w:rPr>
          <w:rFonts w:hint="eastAsia" w:ascii="黑体" w:hAnsi="黑体" w:eastAsia="黑体" w:cs="Times New Roman"/>
          <w:sz w:val="36"/>
          <w:szCs w:val="36"/>
        </w:rPr>
        <w:t>填报要求</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三年工作总结报告是评估的重要依据，须认真、准确填写，并进行审核。</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三年工作总结报告内容须是评估基准时间内</w:t>
      </w:r>
      <w:r>
        <w:rPr>
          <w:rFonts w:hint="eastAsia" w:ascii="宋体" w:hAnsi="宋体" w:eastAsia="宋体" w:cs="Times New Roman"/>
          <w:sz w:val="24"/>
          <w:szCs w:val="24"/>
        </w:rPr>
        <w:t>（2018年</w:t>
      </w:r>
      <w:r>
        <w:rPr>
          <w:rFonts w:ascii="宋体" w:hAnsi="宋体" w:eastAsia="宋体" w:cs="Times New Roman"/>
          <w:sz w:val="24"/>
          <w:szCs w:val="24"/>
        </w:rPr>
        <w:t>1</w:t>
      </w:r>
      <w:r>
        <w:rPr>
          <w:rFonts w:hint="eastAsia" w:ascii="宋体" w:hAnsi="宋体" w:eastAsia="宋体" w:cs="Times New Roman"/>
          <w:sz w:val="24"/>
          <w:szCs w:val="24"/>
        </w:rPr>
        <w:t>月</w:t>
      </w:r>
      <w:r>
        <w:rPr>
          <w:rFonts w:ascii="宋体" w:hAnsi="宋体" w:eastAsia="宋体" w:cs="Times New Roman"/>
          <w:sz w:val="24"/>
          <w:szCs w:val="24"/>
        </w:rPr>
        <w:t>1</w:t>
      </w:r>
      <w:r>
        <w:rPr>
          <w:rFonts w:hint="eastAsia" w:ascii="宋体" w:hAnsi="宋体" w:eastAsia="宋体" w:cs="Times New Roman"/>
          <w:sz w:val="24"/>
          <w:szCs w:val="24"/>
        </w:rPr>
        <w:t>日到2020年</w:t>
      </w:r>
      <w:r>
        <w:rPr>
          <w:rFonts w:ascii="宋体" w:hAnsi="宋体" w:eastAsia="宋体" w:cs="Times New Roman"/>
          <w:sz w:val="24"/>
          <w:szCs w:val="24"/>
        </w:rPr>
        <w:t>12</w:t>
      </w:r>
      <w:r>
        <w:rPr>
          <w:rFonts w:hint="eastAsia" w:ascii="宋体" w:hAnsi="宋体" w:eastAsia="宋体" w:cs="Times New Roman"/>
          <w:sz w:val="24"/>
          <w:szCs w:val="24"/>
        </w:rPr>
        <w:t>月31日）</w:t>
      </w:r>
      <w:r>
        <w:rPr>
          <w:rFonts w:ascii="宋体" w:hAnsi="宋体" w:eastAsia="宋体" w:cs="Times New Roman"/>
          <w:sz w:val="24"/>
          <w:szCs w:val="24"/>
        </w:rPr>
        <w:t>的案例及数据。</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三年工作总结报告内容不得空缺，如果栏目没有内容，请填“无”</w:t>
      </w:r>
      <w:r>
        <w:rPr>
          <w:rFonts w:hint="eastAsia" w:ascii="宋体" w:hAnsi="宋体" w:eastAsia="宋体" w:cs="Times New Roman"/>
          <w:sz w:val="24"/>
          <w:szCs w:val="24"/>
        </w:rPr>
        <w:t>。</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三年工作总结报告内容应按要求填写，覆盖各项提示要点，用词客观准确，有具体的数据、事例支撑。如表格空间不够，可自行扩充。</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三年工作总结报告内容“仿宋小4”填写，排版整洁，合理分段表达</w:t>
      </w:r>
      <w:r>
        <w:rPr>
          <w:rFonts w:hint="eastAsia" w:ascii="宋体" w:hAnsi="宋体" w:eastAsia="宋体" w:cs="Times New Roman"/>
          <w:sz w:val="24"/>
          <w:szCs w:val="24"/>
        </w:rPr>
        <w:t>。</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三年工作总结报告中涉及的项目、成果、规章制度等内容，应提供相应材料（复印件）作为报告附件。附件篇幅较大时，只需复印核心内容。</w:t>
      </w:r>
    </w:p>
    <w:p>
      <w:pPr>
        <w:numPr>
          <w:ilvl w:val="0"/>
          <w:numId w:val="2"/>
        </w:numPr>
        <w:snapToGrid w:val="0"/>
        <w:spacing w:line="600" w:lineRule="exact"/>
        <w:ind w:left="0" w:firstLine="480" w:firstLineChars="200"/>
        <w:rPr>
          <w:rFonts w:ascii="宋体" w:hAnsi="宋体" w:eastAsia="宋体" w:cs="Times New Roman"/>
          <w:sz w:val="24"/>
          <w:szCs w:val="24"/>
        </w:rPr>
      </w:pPr>
      <w:r>
        <w:rPr>
          <w:rFonts w:ascii="宋体" w:hAnsi="宋体" w:eastAsia="宋体" w:cs="Times New Roman"/>
          <w:sz w:val="24"/>
          <w:szCs w:val="24"/>
        </w:rPr>
        <w:t>三年工作总结报告和附件采用A4纸双面印刷，装订成册。报告和附件应添加内容目录，以便查阅。</w:t>
      </w:r>
    </w:p>
    <w:p>
      <w:pPr>
        <w:numPr>
          <w:ilvl w:val="0"/>
          <w:numId w:val="2"/>
        </w:numPr>
        <w:snapToGrid w:val="0"/>
        <w:spacing w:line="600" w:lineRule="exact"/>
        <w:ind w:left="0" w:firstLine="480" w:firstLineChars="200"/>
        <w:rPr>
          <w:rFonts w:ascii="宋体" w:hAnsi="宋体" w:eastAsia="宋体" w:cs="Times New Roman"/>
          <w:sz w:val="24"/>
          <w:szCs w:val="24"/>
        </w:rPr>
      </w:pPr>
      <w:r>
        <w:rPr>
          <w:rFonts w:hint="eastAsia" w:ascii="宋体" w:hAnsi="宋体" w:eastAsia="宋体" w:cs="Times New Roman"/>
          <w:sz w:val="24"/>
          <w:szCs w:val="24"/>
        </w:rPr>
        <w:t>实验室</w:t>
      </w:r>
      <w:r>
        <w:rPr>
          <w:rFonts w:ascii="宋体" w:hAnsi="宋体" w:eastAsia="宋体" w:cs="Times New Roman"/>
          <w:sz w:val="24"/>
          <w:szCs w:val="24"/>
        </w:rPr>
        <w:t>主任、</w:t>
      </w:r>
      <w:r>
        <w:rPr>
          <w:rFonts w:hint="eastAsia" w:ascii="宋体" w:hAnsi="宋体" w:eastAsia="宋体" w:cs="Times New Roman"/>
          <w:sz w:val="24"/>
          <w:szCs w:val="24"/>
        </w:rPr>
        <w:t>依托单位、主管部门</w:t>
      </w:r>
      <w:r>
        <w:rPr>
          <w:rFonts w:ascii="宋体" w:hAnsi="宋体" w:eastAsia="宋体" w:cs="Times New Roman"/>
          <w:sz w:val="24"/>
          <w:szCs w:val="24"/>
        </w:rPr>
        <w:t>签章完整，签章与</w:t>
      </w:r>
      <w:r>
        <w:rPr>
          <w:rFonts w:hint="eastAsia" w:ascii="宋体" w:hAnsi="宋体" w:eastAsia="宋体" w:cs="Times New Roman"/>
          <w:sz w:val="24"/>
          <w:szCs w:val="24"/>
        </w:rPr>
        <w:t>封面信息</w:t>
      </w:r>
      <w:r>
        <w:rPr>
          <w:rFonts w:ascii="宋体" w:hAnsi="宋体" w:eastAsia="宋体" w:cs="Times New Roman"/>
          <w:sz w:val="24"/>
          <w:szCs w:val="24"/>
        </w:rPr>
        <w:t>一致。</w:t>
      </w:r>
    </w:p>
    <w:p>
      <w:pPr>
        <w:numPr>
          <w:ilvl w:val="0"/>
          <w:numId w:val="2"/>
        </w:numPr>
        <w:snapToGrid w:val="0"/>
        <w:spacing w:line="600" w:lineRule="exact"/>
        <w:ind w:left="0" w:firstLine="480" w:firstLineChars="200"/>
        <w:rPr>
          <w:rFonts w:ascii="宋体" w:hAnsi="宋体" w:eastAsia="宋体" w:cs="Times New Roman"/>
          <w:sz w:val="24"/>
          <w:szCs w:val="24"/>
        </w:rPr>
      </w:pPr>
      <w:r>
        <w:rPr>
          <w:rFonts w:hint="eastAsia" w:ascii="宋体" w:hAnsi="宋体" w:eastAsia="宋体" w:cs="Times New Roman"/>
          <w:sz w:val="24"/>
          <w:szCs w:val="24"/>
        </w:rPr>
        <w:t>各依托单位将实验室三年工作总结报告和附件材料（纸质版一份）于</w:t>
      </w:r>
      <w:r>
        <w:rPr>
          <w:rFonts w:ascii="宋体" w:hAnsi="宋体" w:eastAsia="宋体" w:cs="Times New Roman"/>
          <w:sz w:val="24"/>
          <w:szCs w:val="24"/>
        </w:rPr>
        <w:t>2021年8月10日前报送至科技厅，同时将电子版发送至电子邮箱：nmgcxzxxmk@163.com。</w:t>
      </w:r>
    </w:p>
    <w:p>
      <w:pPr>
        <w:snapToGrid w:val="0"/>
        <w:spacing w:line="600" w:lineRule="exact"/>
        <w:rPr>
          <w:rFonts w:ascii="宋体" w:hAnsi="宋体" w:eastAsia="宋体" w:cs="Times New Roman"/>
          <w:sz w:val="24"/>
          <w:szCs w:val="24"/>
        </w:rPr>
      </w:pPr>
    </w:p>
    <w:p>
      <w:pPr>
        <w:snapToGrid w:val="0"/>
        <w:spacing w:after="156" w:afterLines="50" w:line="360" w:lineRule="auto"/>
        <w:rPr>
          <w:rFonts w:ascii="Times New Roman" w:hAnsi="Times New Roman" w:eastAsia="黑体" w:cs="Times New Roman"/>
          <w:kern w:val="0"/>
          <w:sz w:val="28"/>
          <w:szCs w:val="20"/>
        </w:rPr>
      </w:pPr>
    </w:p>
    <w:p>
      <w:pPr>
        <w:snapToGrid w:val="0"/>
        <w:spacing w:after="156" w:afterLines="50" w:line="360" w:lineRule="auto"/>
        <w:rPr>
          <w:rFonts w:ascii="Times New Roman" w:hAnsi="Times New Roman" w:eastAsia="黑体" w:cs="Times New Roman"/>
          <w:kern w:val="0"/>
          <w:sz w:val="28"/>
          <w:szCs w:val="20"/>
        </w:rPr>
      </w:pPr>
    </w:p>
    <w:p>
      <w:pPr>
        <w:snapToGrid w:val="0"/>
        <w:spacing w:after="156" w:afterLines="50" w:line="360" w:lineRule="auto"/>
        <w:rPr>
          <w:rFonts w:ascii="Times New Roman" w:hAnsi="Times New Roman" w:eastAsia="黑体" w:cs="Times New Roman"/>
          <w:kern w:val="0"/>
          <w:sz w:val="28"/>
          <w:szCs w:val="20"/>
        </w:rPr>
      </w:pPr>
    </w:p>
    <w:p>
      <w:pPr>
        <w:snapToGrid w:val="0"/>
        <w:spacing w:after="156" w:afterLines="50" w:line="360" w:lineRule="auto"/>
        <w:rPr>
          <w:rFonts w:ascii="Times New Roman" w:hAnsi="Times New Roman" w:eastAsia="黑体" w:cs="Times New Roman"/>
          <w:kern w:val="0"/>
          <w:sz w:val="28"/>
          <w:szCs w:val="20"/>
        </w:rPr>
      </w:pPr>
    </w:p>
    <w:p>
      <w:pPr>
        <w:snapToGrid w:val="0"/>
        <w:spacing w:after="156" w:afterLines="50" w:line="360" w:lineRule="auto"/>
        <w:rPr>
          <w:rFonts w:ascii="Times New Roman" w:hAnsi="Times New Roman" w:eastAsia="黑体" w:cs="Times New Roman"/>
          <w:kern w:val="0"/>
          <w:sz w:val="28"/>
          <w:szCs w:val="20"/>
        </w:rPr>
      </w:pPr>
    </w:p>
    <w:p>
      <w:pPr>
        <w:snapToGrid w:val="0"/>
        <w:spacing w:after="156" w:afterLines="50" w:line="360" w:lineRule="auto"/>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一</w:t>
      </w:r>
      <w:r>
        <w:rPr>
          <w:rFonts w:ascii="Times New Roman" w:hAnsi="Times New Roman" w:eastAsia="黑体" w:cs="Times New Roman"/>
          <w:kern w:val="0"/>
          <w:sz w:val="28"/>
          <w:szCs w:val="20"/>
        </w:rPr>
        <w:t>、</w:t>
      </w:r>
      <w:r>
        <w:rPr>
          <w:rFonts w:hint="eastAsia" w:ascii="Times New Roman" w:hAnsi="Times New Roman" w:eastAsia="黑体" w:cs="Times New Roman"/>
          <w:kern w:val="0"/>
          <w:sz w:val="28"/>
          <w:szCs w:val="20"/>
        </w:rPr>
        <w:t>基本信息</w:t>
      </w:r>
    </w:p>
    <w:tbl>
      <w:tblPr>
        <w:tblStyle w:val="13"/>
        <w:tblW w:w="8392"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57" w:type="dxa"/>
          <w:left w:w="57" w:type="dxa"/>
          <w:bottom w:w="57" w:type="dxa"/>
          <w:right w:w="57" w:type="dxa"/>
        </w:tblCellMar>
      </w:tblPr>
      <w:tblGrid>
        <w:gridCol w:w="1115"/>
        <w:gridCol w:w="1192"/>
        <w:gridCol w:w="17"/>
        <w:gridCol w:w="59"/>
        <w:gridCol w:w="520"/>
        <w:gridCol w:w="17"/>
        <w:gridCol w:w="617"/>
        <w:gridCol w:w="142"/>
        <w:gridCol w:w="301"/>
        <w:gridCol w:w="302"/>
        <w:gridCol w:w="65"/>
        <w:gridCol w:w="378"/>
        <w:gridCol w:w="25"/>
        <w:gridCol w:w="629"/>
        <w:gridCol w:w="279"/>
        <w:gridCol w:w="76"/>
        <w:gridCol w:w="230"/>
        <w:gridCol w:w="190"/>
        <w:gridCol w:w="97"/>
        <w:gridCol w:w="296"/>
        <w:gridCol w:w="20"/>
        <w:gridCol w:w="245"/>
        <w:gridCol w:w="90"/>
        <w:gridCol w:w="118"/>
        <w:gridCol w:w="59"/>
        <w:gridCol w:w="97"/>
        <w:gridCol w:w="299"/>
        <w:gridCol w:w="917"/>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实验室名称</w:t>
            </w:r>
          </w:p>
        </w:tc>
        <w:tc>
          <w:tcPr>
            <w:tcW w:w="7277" w:type="dxa"/>
            <w:gridSpan w:val="27"/>
            <w:tcBorders>
              <w:tl2br w:val="nil"/>
              <w:tr2bl w:val="nil"/>
            </w:tcBorders>
            <w:vAlign w:val="center"/>
          </w:tcPr>
          <w:p>
            <w:pPr>
              <w:adjustRightInd w:val="0"/>
              <w:snapToGrid w:val="0"/>
              <w:rPr>
                <w:rFonts w:ascii="宋体" w:hAnsi="宋体" w:eastAsia="宋体" w:cs="Times New Roman"/>
                <w:bCs/>
                <w:szCs w:val="21"/>
              </w:rPr>
            </w:pPr>
            <w:r>
              <w:rPr>
                <w:rFonts w:ascii="宋体" w:hAnsi="宋体" w:eastAsia="宋体" w:cs="Times New Roman"/>
                <w:bCs/>
                <w:szCs w:val="21"/>
              </w:rPr>
              <w:t>中文：</w:t>
            </w:r>
            <w:r>
              <w:rPr>
                <w:rFonts w:hint="eastAsia" w:ascii="宋体" w:hAnsi="宋体" w:eastAsia="宋体" w:cs="Times New Roman"/>
                <w:bCs/>
                <w:szCs w:val="21"/>
              </w:rPr>
              <w:t>内蒙古自治区内镜消化疾病重点实验室</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7277" w:type="dxa"/>
            <w:gridSpan w:val="27"/>
            <w:tcBorders>
              <w:tl2br w:val="nil"/>
              <w:tr2bl w:val="nil"/>
            </w:tcBorders>
            <w:vAlign w:val="center"/>
          </w:tcPr>
          <w:p>
            <w:pPr>
              <w:adjustRightInd w:val="0"/>
              <w:snapToGrid w:val="0"/>
              <w:rPr>
                <w:rFonts w:ascii="Times New Roman" w:hAnsi="Times New Roman" w:eastAsia="宋体" w:cs="Times New Roman"/>
                <w:bCs/>
                <w:szCs w:val="21"/>
              </w:rPr>
            </w:pPr>
            <w:r>
              <w:rPr>
                <w:rFonts w:ascii="Times New Roman" w:hAnsi="Times New Roman" w:eastAsia="宋体" w:cs="Times New Roman"/>
                <w:bCs/>
                <w:szCs w:val="21"/>
              </w:rPr>
              <w:t>英文：Inner Mongolia Key Laboratory of Endoscopic Digestive Diseases</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研究方向</w:t>
            </w:r>
          </w:p>
          <w:p>
            <w:pPr>
              <w:adjustRightInd w:val="0"/>
              <w:snapToGrid w:val="0"/>
              <w:jc w:val="center"/>
              <w:rPr>
                <w:rFonts w:ascii="宋体" w:hAnsi="宋体" w:eastAsia="宋体" w:cs="Times New Roman"/>
                <w:bCs/>
                <w:szCs w:val="21"/>
              </w:rPr>
            </w:pPr>
            <w:r>
              <w:rPr>
                <w:rFonts w:ascii="宋体" w:hAnsi="宋体" w:eastAsia="宋体" w:cs="Times New Roman"/>
                <w:bCs/>
                <w:szCs w:val="21"/>
              </w:rPr>
              <w:t>（据实增删）</w:t>
            </w:r>
          </w:p>
        </w:tc>
        <w:tc>
          <w:tcPr>
            <w:tcW w:w="1192" w:type="dxa"/>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研究方向1</w:t>
            </w:r>
          </w:p>
        </w:tc>
        <w:tc>
          <w:tcPr>
            <w:tcW w:w="6085" w:type="dxa"/>
            <w:gridSpan w:val="26"/>
            <w:tcBorders>
              <w:tl2br w:val="nil"/>
              <w:tr2bl w:val="nil"/>
            </w:tcBorders>
            <w:vAlign w:val="center"/>
          </w:tcPr>
          <w:p>
            <w:pPr>
              <w:adjustRightInd w:val="0"/>
              <w:snapToGrid w:val="0"/>
              <w:jc w:val="left"/>
              <w:rPr>
                <w:rFonts w:ascii="Times New Roman" w:hAnsi="Times New Roman" w:eastAsia="宋体" w:cs="Times New Roman"/>
                <w:bCs/>
                <w:szCs w:val="21"/>
              </w:rPr>
            </w:pPr>
            <w:r>
              <w:rPr>
                <w:rFonts w:hint="eastAsia" w:ascii="Times New Roman" w:hAnsi="Times New Roman" w:eastAsia="宋体" w:cs="Times New Roman"/>
                <w:bCs/>
                <w:szCs w:val="21"/>
              </w:rPr>
              <w:t>研发消化内镜人工智能辅助诊断系统</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Times New Roman" w:hAnsi="Times New Roman" w:eastAsia="宋体" w:cs="Times New Roman"/>
                <w:bCs/>
                <w:szCs w:val="21"/>
                <w:highlight w:val="yellow"/>
              </w:rPr>
            </w:pPr>
            <w:r>
              <w:rPr>
                <w:rFonts w:ascii="Times New Roman" w:hAnsi="Times New Roman" w:eastAsia="宋体" w:cs="Times New Roman"/>
                <w:bCs/>
                <w:szCs w:val="21"/>
              </w:rPr>
              <w:t>研究方向2</w:t>
            </w:r>
          </w:p>
        </w:tc>
        <w:tc>
          <w:tcPr>
            <w:tcW w:w="6085" w:type="dxa"/>
            <w:gridSpan w:val="26"/>
            <w:tcBorders>
              <w:tl2br w:val="nil"/>
              <w:tr2bl w:val="nil"/>
            </w:tcBorders>
            <w:vAlign w:val="center"/>
          </w:tcPr>
          <w:p>
            <w:pPr>
              <w:adjustRightInd w:val="0"/>
              <w:snapToGrid w:val="0"/>
              <w:jc w:val="left"/>
              <w:rPr>
                <w:rFonts w:ascii="Times New Roman" w:hAnsi="Times New Roman" w:eastAsia="宋体" w:cs="Times New Roman"/>
                <w:bCs/>
                <w:szCs w:val="21"/>
                <w:highlight w:val="yellow"/>
              </w:rPr>
            </w:pPr>
            <w:r>
              <w:rPr>
                <w:rFonts w:ascii="Times New Roman" w:hAnsi="Times New Roman" w:eastAsia="宋体" w:cs="Times New Roman"/>
                <w:bCs/>
                <w:szCs w:val="21"/>
              </w:rPr>
              <w:t>常见消化系统肿瘤发病机理研究</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研究方向3</w:t>
            </w:r>
          </w:p>
        </w:tc>
        <w:tc>
          <w:tcPr>
            <w:tcW w:w="6085" w:type="dxa"/>
            <w:gridSpan w:val="26"/>
            <w:tcBorders>
              <w:tl2br w:val="nil"/>
              <w:tr2bl w:val="nil"/>
            </w:tcBorders>
            <w:vAlign w:val="center"/>
          </w:tcPr>
          <w:p>
            <w:pPr>
              <w:adjustRightInd w:val="0"/>
              <w:snapToGrid w:val="0"/>
              <w:jc w:val="left"/>
              <w:rPr>
                <w:rFonts w:ascii="Times New Roman" w:hAnsi="Times New Roman" w:eastAsia="宋体" w:cs="Times New Roman"/>
                <w:bCs/>
                <w:szCs w:val="21"/>
              </w:rPr>
            </w:pPr>
            <w:r>
              <w:rPr>
                <w:rFonts w:ascii="Times New Roman" w:hAnsi="Times New Roman" w:eastAsia="宋体" w:cs="Times New Roman"/>
                <w:bCs/>
                <w:szCs w:val="21"/>
              </w:rPr>
              <w:t>内镜消化疾病研究相关人才的培养方式研究</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实验室</w:t>
            </w:r>
          </w:p>
          <w:p>
            <w:pPr>
              <w:adjustRightInd w:val="0"/>
              <w:snapToGrid w:val="0"/>
              <w:jc w:val="center"/>
              <w:rPr>
                <w:rFonts w:ascii="宋体" w:hAnsi="宋体" w:eastAsia="宋体" w:cs="Times New Roman"/>
                <w:b/>
                <w:bCs/>
                <w:szCs w:val="21"/>
              </w:rPr>
            </w:pPr>
            <w:r>
              <w:rPr>
                <w:rFonts w:ascii="宋体" w:hAnsi="宋体" w:eastAsia="宋体" w:cs="Times New Roman"/>
                <w:b/>
                <w:bCs/>
                <w:szCs w:val="21"/>
              </w:rPr>
              <w:t>主任</w:t>
            </w: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姓</w:t>
            </w:r>
            <w:r>
              <w:rPr>
                <w:rFonts w:hint="eastAsia" w:ascii="宋体" w:hAnsi="宋体" w:eastAsia="宋体" w:cs="Times New Roman"/>
                <w:bCs/>
                <w:szCs w:val="21"/>
              </w:rPr>
              <w:t xml:space="preserve">  </w:t>
            </w:r>
            <w:r>
              <w:rPr>
                <w:rFonts w:ascii="宋体" w:hAnsi="宋体" w:eastAsia="宋体" w:cs="Times New Roman"/>
                <w:bCs/>
                <w:szCs w:val="21"/>
              </w:rPr>
              <w:t>名</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赵贵君</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出生年月</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1976.09</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职</w:t>
            </w:r>
            <w:r>
              <w:rPr>
                <w:rFonts w:hint="eastAsia" w:ascii="宋体" w:hAnsi="宋体" w:eastAsia="宋体" w:cs="Times New Roman"/>
                <w:bCs/>
                <w:szCs w:val="21"/>
              </w:rPr>
              <w:t xml:space="preserve">  </w:t>
            </w:r>
            <w:r>
              <w:rPr>
                <w:rFonts w:ascii="宋体" w:hAnsi="宋体" w:eastAsia="宋体" w:cs="Times New Roman"/>
                <w:bCs/>
                <w:szCs w:val="21"/>
              </w:rPr>
              <w:t>称</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主任医师</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专业领域</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hint="eastAsia" w:ascii="Times New Roman" w:hAnsi="Times New Roman" w:eastAsia="宋体" w:cs="Times New Roman"/>
                <w:bCs/>
                <w:szCs w:val="21"/>
              </w:rPr>
              <w:t>消化内科学&amp;消化内镜</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任职时间</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201</w:t>
            </w:r>
            <w:r>
              <w:rPr>
                <w:rFonts w:hint="eastAsia" w:ascii="Times New Roman" w:hAnsi="Times New Roman" w:eastAsia="宋体" w:cs="Times New Roman"/>
                <w:bCs/>
                <w:szCs w:val="21"/>
              </w:rPr>
              <w:t>6年</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在依托单位职务</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内镜中心主任</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
                <w:bCs/>
                <w:szCs w:val="21"/>
              </w:rPr>
              <w:t>学术委员会主任</w:t>
            </w: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姓</w:t>
            </w:r>
            <w:r>
              <w:rPr>
                <w:rFonts w:hint="eastAsia" w:ascii="宋体" w:hAnsi="宋体" w:eastAsia="宋体" w:cs="Times New Roman"/>
                <w:bCs/>
                <w:szCs w:val="21"/>
              </w:rPr>
              <w:t xml:space="preserve">  </w:t>
            </w:r>
            <w:r>
              <w:rPr>
                <w:rFonts w:ascii="宋体" w:hAnsi="宋体" w:eastAsia="宋体" w:cs="Times New Roman"/>
                <w:bCs/>
                <w:szCs w:val="21"/>
              </w:rPr>
              <w:t>名</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沈祖尧</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出生年月</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1959.10</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职</w:t>
            </w:r>
            <w:r>
              <w:rPr>
                <w:rFonts w:hint="eastAsia" w:ascii="宋体" w:hAnsi="宋体" w:eastAsia="宋体" w:cs="Times New Roman"/>
                <w:bCs/>
                <w:szCs w:val="21"/>
              </w:rPr>
              <w:t xml:space="preserve">  </w:t>
            </w:r>
            <w:r>
              <w:rPr>
                <w:rFonts w:ascii="宋体" w:hAnsi="宋体" w:eastAsia="宋体" w:cs="Times New Roman"/>
                <w:bCs/>
                <w:szCs w:val="21"/>
              </w:rPr>
              <w:t>称</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教授</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专业领域</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消化</w:t>
            </w:r>
            <w:r>
              <w:rPr>
                <w:rFonts w:hint="eastAsia" w:ascii="Times New Roman" w:hAnsi="Times New Roman" w:eastAsia="宋体" w:cs="Times New Roman"/>
                <w:bCs/>
                <w:szCs w:val="21"/>
              </w:rPr>
              <w:t>系统</w:t>
            </w:r>
            <w:r>
              <w:rPr>
                <w:rFonts w:ascii="Times New Roman" w:hAnsi="Times New Roman" w:eastAsia="宋体" w:cs="Times New Roman"/>
                <w:bCs/>
                <w:szCs w:val="21"/>
              </w:rPr>
              <w:t>疾病</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192" w:type="dxa"/>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任职时间</w:t>
            </w:r>
          </w:p>
        </w:tc>
        <w:tc>
          <w:tcPr>
            <w:tcW w:w="2040"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2016</w:t>
            </w:r>
            <w:r>
              <w:rPr>
                <w:rFonts w:hint="eastAsia" w:ascii="Times New Roman" w:hAnsi="Times New Roman" w:eastAsia="宋体" w:cs="Times New Roman"/>
                <w:bCs/>
                <w:szCs w:val="21"/>
              </w:rPr>
              <w:t>年</w:t>
            </w:r>
          </w:p>
        </w:tc>
        <w:tc>
          <w:tcPr>
            <w:tcW w:w="1904"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所在单位及职务</w:t>
            </w:r>
          </w:p>
        </w:tc>
        <w:tc>
          <w:tcPr>
            <w:tcW w:w="2141"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香港中文大学校长</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8392" w:type="dxa"/>
            <w:gridSpan w:val="28"/>
            <w:tcBorders>
              <w:tl2br w:val="nil"/>
              <w:tr2bl w:val="nil"/>
            </w:tcBorders>
            <w:vAlign w:val="center"/>
          </w:tcPr>
          <w:p>
            <w:pPr>
              <w:adjustRightInd w:val="0"/>
              <w:snapToGrid w:val="0"/>
              <w:jc w:val="center"/>
              <w:rPr>
                <w:rFonts w:ascii="宋体" w:hAnsi="宋体" w:eastAsia="宋体" w:cs="Times New Roman"/>
                <w:b/>
                <w:szCs w:val="21"/>
              </w:rPr>
            </w:pPr>
            <w:r>
              <w:rPr>
                <w:rFonts w:ascii="宋体" w:hAnsi="宋体" w:eastAsia="宋体" w:cs="Times New Roman"/>
                <w:b/>
                <w:szCs w:val="21"/>
              </w:rPr>
              <w:t>重点实验室基本情况</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实验室经费</w:t>
            </w:r>
          </w:p>
          <w:p>
            <w:pPr>
              <w:adjustRightInd w:val="0"/>
              <w:snapToGrid w:val="0"/>
              <w:jc w:val="center"/>
              <w:rPr>
                <w:rFonts w:ascii="宋体" w:hAnsi="宋体" w:eastAsia="宋体" w:cs="Times New Roman"/>
                <w:bCs/>
                <w:szCs w:val="21"/>
              </w:rPr>
            </w:pP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268" w:type="dxa"/>
            <w:gridSpan w:val="3"/>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szCs w:val="21"/>
              </w:rPr>
              <w:t>经费构成</w:t>
            </w:r>
          </w:p>
        </w:tc>
        <w:tc>
          <w:tcPr>
            <w:tcW w:w="1296" w:type="dxa"/>
            <w:gridSpan w:val="4"/>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运行费</w:t>
            </w:r>
          </w:p>
          <w:p>
            <w:pPr>
              <w:adjustRightInd w:val="0"/>
              <w:snapToGrid w:val="0"/>
              <w:jc w:val="center"/>
              <w:rPr>
                <w:rFonts w:ascii="宋体" w:hAnsi="宋体" w:eastAsia="宋体" w:cs="Times New Roman"/>
                <w:bCs/>
                <w:szCs w:val="21"/>
              </w:rPr>
            </w:pPr>
            <w:r>
              <w:rPr>
                <w:rFonts w:ascii="宋体" w:hAnsi="宋体" w:eastAsia="宋体" w:cs="Times New Roman"/>
                <w:szCs w:val="21"/>
              </w:rPr>
              <w:t>（万元）</w:t>
            </w:r>
          </w:p>
        </w:tc>
        <w:tc>
          <w:tcPr>
            <w:tcW w:w="1700" w:type="dxa"/>
            <w:gridSpan w:val="6"/>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科研经费</w:t>
            </w:r>
          </w:p>
          <w:p>
            <w:pPr>
              <w:adjustRightInd w:val="0"/>
              <w:snapToGrid w:val="0"/>
              <w:jc w:val="center"/>
              <w:rPr>
                <w:rFonts w:ascii="宋体" w:hAnsi="宋体" w:eastAsia="宋体" w:cs="Times New Roman"/>
                <w:szCs w:val="21"/>
              </w:rPr>
            </w:pPr>
            <w:r>
              <w:rPr>
                <w:rFonts w:ascii="宋体" w:hAnsi="宋体" w:eastAsia="宋体" w:cs="Times New Roman"/>
                <w:szCs w:val="21"/>
              </w:rPr>
              <w:t>（万元）</w:t>
            </w:r>
          </w:p>
        </w:tc>
        <w:tc>
          <w:tcPr>
            <w:tcW w:w="1700" w:type="dxa"/>
            <w:gridSpan w:val="11"/>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仪器设备购置费</w:t>
            </w:r>
          </w:p>
          <w:p>
            <w:pPr>
              <w:adjustRightInd w:val="0"/>
              <w:snapToGrid w:val="0"/>
              <w:jc w:val="center"/>
              <w:rPr>
                <w:rFonts w:ascii="宋体" w:hAnsi="宋体" w:eastAsia="宋体" w:cs="Times New Roman"/>
                <w:szCs w:val="21"/>
              </w:rPr>
            </w:pPr>
            <w:r>
              <w:rPr>
                <w:rFonts w:ascii="宋体" w:hAnsi="宋体" w:eastAsia="宋体" w:cs="Times New Roman"/>
                <w:szCs w:val="21"/>
              </w:rPr>
              <w:t>（万元）</w:t>
            </w:r>
          </w:p>
        </w:tc>
        <w:tc>
          <w:tcPr>
            <w:tcW w:w="1313" w:type="dxa"/>
            <w:gridSpan w:val="3"/>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人员费</w:t>
            </w:r>
          </w:p>
          <w:p>
            <w:pPr>
              <w:adjustRightInd w:val="0"/>
              <w:snapToGrid w:val="0"/>
              <w:jc w:val="center"/>
              <w:rPr>
                <w:rFonts w:ascii="宋体" w:hAnsi="宋体" w:eastAsia="宋体" w:cs="Times New Roman"/>
                <w:szCs w:val="21"/>
              </w:rPr>
            </w:pPr>
            <w:r>
              <w:rPr>
                <w:rFonts w:ascii="宋体" w:hAnsi="宋体" w:eastAsia="宋体" w:cs="Times New Roman"/>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268" w:type="dxa"/>
            <w:gridSpan w:val="3"/>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szCs w:val="21"/>
              </w:rPr>
              <w:t>国</w:t>
            </w:r>
            <w:r>
              <w:rPr>
                <w:rFonts w:hint="eastAsia" w:ascii="宋体" w:hAnsi="宋体" w:eastAsia="宋体" w:cs="Times New Roman"/>
                <w:szCs w:val="21"/>
              </w:rPr>
              <w:t xml:space="preserve">  </w:t>
            </w:r>
            <w:r>
              <w:rPr>
                <w:rFonts w:ascii="宋体" w:hAnsi="宋体" w:eastAsia="宋体" w:cs="Times New Roman"/>
                <w:szCs w:val="21"/>
              </w:rPr>
              <w:t>家</w:t>
            </w:r>
          </w:p>
        </w:tc>
        <w:tc>
          <w:tcPr>
            <w:tcW w:w="1296" w:type="dxa"/>
            <w:gridSpan w:val="4"/>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700" w:type="dxa"/>
            <w:gridSpan w:val="6"/>
            <w:tcBorders>
              <w:tl2br w:val="nil"/>
              <w:tr2bl w:val="nil"/>
            </w:tcBorders>
            <w:vAlign w:val="center"/>
          </w:tcPr>
          <w:p>
            <w:pPr>
              <w:adjustRightInd w:val="0"/>
              <w:snapToGrid w:val="0"/>
              <w:ind w:right="840"/>
              <w:jc w:val="center"/>
              <w:rPr>
                <w:rFonts w:ascii="Times New Roman" w:hAnsi="Times New Roman" w:eastAsia="宋体" w:cs="Times New Roman"/>
                <w:bCs/>
                <w:szCs w:val="21"/>
              </w:rPr>
            </w:pPr>
            <w:r>
              <w:rPr>
                <w:rFonts w:hint="eastAsia" w:ascii="Times New Roman" w:hAnsi="Times New Roman" w:eastAsia="宋体" w:cs="Times New Roman"/>
                <w:bCs/>
                <w:szCs w:val="21"/>
              </w:rPr>
              <w:t xml:space="preserve">     35</w:t>
            </w:r>
          </w:p>
        </w:tc>
        <w:tc>
          <w:tcPr>
            <w:tcW w:w="1700" w:type="dxa"/>
            <w:gridSpan w:val="11"/>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313" w:type="dxa"/>
            <w:gridSpan w:val="3"/>
            <w:tcBorders>
              <w:tl2br w:val="nil"/>
              <w:tr2bl w:val="nil"/>
            </w:tcBorders>
            <w:vAlign w:val="center"/>
          </w:tcPr>
          <w:p>
            <w:pPr>
              <w:adjustRightInd w:val="0"/>
              <w:snapToGrid w:val="0"/>
              <w:jc w:val="center"/>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268" w:type="dxa"/>
            <w:gridSpan w:val="3"/>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部门</w:t>
            </w:r>
          </w:p>
          <w:p>
            <w:pPr>
              <w:adjustRightInd w:val="0"/>
              <w:snapToGrid w:val="0"/>
              <w:jc w:val="center"/>
              <w:rPr>
                <w:rFonts w:ascii="宋体" w:hAnsi="宋体" w:eastAsia="宋体" w:cs="Times New Roman"/>
                <w:bCs/>
                <w:szCs w:val="21"/>
              </w:rPr>
            </w:pPr>
            <w:r>
              <w:rPr>
                <w:rFonts w:ascii="宋体" w:hAnsi="宋体" w:eastAsia="宋体" w:cs="Times New Roman"/>
                <w:szCs w:val="21"/>
              </w:rPr>
              <w:t>（地方）</w:t>
            </w:r>
          </w:p>
        </w:tc>
        <w:tc>
          <w:tcPr>
            <w:tcW w:w="1296" w:type="dxa"/>
            <w:gridSpan w:val="4"/>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700" w:type="dxa"/>
            <w:gridSpan w:val="6"/>
            <w:tcBorders>
              <w:tl2br w:val="nil"/>
              <w:tr2bl w:val="nil"/>
            </w:tcBorders>
            <w:vAlign w:val="center"/>
          </w:tcPr>
          <w:p>
            <w:pPr>
              <w:adjustRightInd w:val="0"/>
              <w:snapToGrid w:val="0"/>
              <w:ind w:firstLine="525" w:firstLineChars="250"/>
              <w:rPr>
                <w:rFonts w:ascii="Times New Roman" w:hAnsi="Times New Roman" w:eastAsia="宋体" w:cs="Times New Roman"/>
                <w:bCs/>
                <w:szCs w:val="21"/>
              </w:rPr>
            </w:pPr>
            <w:r>
              <w:rPr>
                <w:rFonts w:hint="eastAsia" w:ascii="Times New Roman" w:hAnsi="Times New Roman" w:eastAsia="宋体" w:cs="Times New Roman"/>
                <w:bCs/>
                <w:szCs w:val="21"/>
              </w:rPr>
              <w:t>56</w:t>
            </w:r>
          </w:p>
        </w:tc>
        <w:tc>
          <w:tcPr>
            <w:tcW w:w="1700" w:type="dxa"/>
            <w:gridSpan w:val="11"/>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99</w:t>
            </w:r>
          </w:p>
        </w:tc>
        <w:tc>
          <w:tcPr>
            <w:tcW w:w="1313" w:type="dxa"/>
            <w:gridSpan w:val="3"/>
            <w:tcBorders>
              <w:tl2br w:val="nil"/>
              <w:tr2bl w:val="nil"/>
            </w:tcBorders>
            <w:vAlign w:val="center"/>
          </w:tcPr>
          <w:p>
            <w:pPr>
              <w:adjustRightInd w:val="0"/>
              <w:snapToGrid w:val="0"/>
              <w:jc w:val="center"/>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268" w:type="dxa"/>
            <w:gridSpan w:val="3"/>
            <w:tcBorders>
              <w:tl2br w:val="nil"/>
              <w:tr2bl w:val="nil"/>
            </w:tcBorders>
            <w:vAlign w:val="center"/>
          </w:tcPr>
          <w:p>
            <w:pPr>
              <w:adjustRightInd w:val="0"/>
              <w:snapToGrid w:val="0"/>
              <w:jc w:val="center"/>
              <w:rPr>
                <w:rFonts w:ascii="宋体" w:hAnsi="宋体" w:eastAsia="宋体" w:cs="Times New Roman"/>
                <w:szCs w:val="21"/>
              </w:rPr>
            </w:pPr>
            <w:r>
              <w:rPr>
                <w:rFonts w:ascii="宋体" w:hAnsi="宋体" w:eastAsia="宋体" w:cs="Times New Roman"/>
                <w:szCs w:val="21"/>
              </w:rPr>
              <w:t>依托单位</w:t>
            </w:r>
          </w:p>
        </w:tc>
        <w:tc>
          <w:tcPr>
            <w:tcW w:w="1296" w:type="dxa"/>
            <w:gridSpan w:val="4"/>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700" w:type="dxa"/>
            <w:gridSpan w:val="6"/>
            <w:tcBorders>
              <w:tl2br w:val="nil"/>
              <w:tr2bl w:val="nil"/>
            </w:tcBorders>
            <w:vAlign w:val="center"/>
          </w:tcPr>
          <w:p>
            <w:pPr>
              <w:adjustRightInd w:val="0"/>
              <w:snapToGrid w:val="0"/>
              <w:ind w:firstLine="630" w:firstLineChars="300"/>
              <w:rPr>
                <w:rFonts w:ascii="Times New Roman" w:hAnsi="Times New Roman" w:eastAsia="宋体" w:cs="Times New Roman"/>
                <w:bCs/>
                <w:szCs w:val="21"/>
              </w:rPr>
            </w:pPr>
            <w:r>
              <w:rPr>
                <w:rFonts w:hint="eastAsia" w:ascii="Times New Roman" w:hAnsi="Times New Roman" w:eastAsia="宋体" w:cs="Times New Roman"/>
                <w:bCs/>
                <w:szCs w:val="21"/>
              </w:rPr>
              <w:t>3</w:t>
            </w:r>
          </w:p>
        </w:tc>
        <w:tc>
          <w:tcPr>
            <w:tcW w:w="1700" w:type="dxa"/>
            <w:gridSpan w:val="11"/>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313" w:type="dxa"/>
            <w:gridSpan w:val="3"/>
            <w:tcBorders>
              <w:tl2br w:val="nil"/>
              <w:tr2bl w:val="nil"/>
            </w:tcBorders>
            <w:vAlign w:val="center"/>
          </w:tcPr>
          <w:p>
            <w:pPr>
              <w:adjustRightInd w:val="0"/>
              <w:snapToGrid w:val="0"/>
              <w:jc w:val="center"/>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268" w:type="dxa"/>
            <w:gridSpan w:val="3"/>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合</w:t>
            </w:r>
            <w:r>
              <w:rPr>
                <w:rFonts w:hint="eastAsia" w:ascii="宋体" w:hAnsi="宋体" w:eastAsia="宋体" w:cs="Times New Roman"/>
                <w:bCs/>
                <w:szCs w:val="21"/>
              </w:rPr>
              <w:t xml:space="preserve">  </w:t>
            </w:r>
            <w:r>
              <w:rPr>
                <w:rFonts w:ascii="宋体" w:hAnsi="宋体" w:eastAsia="宋体" w:cs="Times New Roman"/>
                <w:bCs/>
                <w:szCs w:val="21"/>
              </w:rPr>
              <w:t>计</w:t>
            </w:r>
          </w:p>
        </w:tc>
        <w:tc>
          <w:tcPr>
            <w:tcW w:w="1296" w:type="dxa"/>
            <w:gridSpan w:val="4"/>
            <w:tcBorders>
              <w:tl2br w:val="nil"/>
              <w:tr2bl w:val="nil"/>
            </w:tcBorders>
            <w:vAlign w:val="center"/>
          </w:tcPr>
          <w:p>
            <w:pPr>
              <w:adjustRightInd w:val="0"/>
              <w:snapToGrid w:val="0"/>
              <w:jc w:val="center"/>
              <w:rPr>
                <w:rFonts w:ascii="Times New Roman" w:hAnsi="Times New Roman" w:eastAsia="宋体" w:cs="Times New Roman"/>
                <w:bCs/>
                <w:szCs w:val="21"/>
              </w:rPr>
            </w:pPr>
          </w:p>
        </w:tc>
        <w:tc>
          <w:tcPr>
            <w:tcW w:w="1700" w:type="dxa"/>
            <w:gridSpan w:val="6"/>
            <w:tcBorders>
              <w:tl2br w:val="nil"/>
              <w:tr2bl w:val="nil"/>
            </w:tcBorders>
            <w:vAlign w:val="center"/>
          </w:tcPr>
          <w:p>
            <w:pPr>
              <w:adjustRightInd w:val="0"/>
              <w:snapToGrid w:val="0"/>
              <w:ind w:firstLine="630" w:firstLineChars="300"/>
              <w:rPr>
                <w:rFonts w:ascii="Times New Roman" w:hAnsi="Times New Roman" w:eastAsia="宋体" w:cs="Times New Roman"/>
                <w:bCs/>
                <w:szCs w:val="21"/>
              </w:rPr>
            </w:pPr>
            <w:r>
              <w:rPr>
                <w:rFonts w:hint="eastAsia" w:ascii="Times New Roman" w:hAnsi="Times New Roman" w:eastAsia="宋体" w:cs="Times New Roman"/>
                <w:bCs/>
                <w:szCs w:val="21"/>
              </w:rPr>
              <w:t>94</w:t>
            </w:r>
          </w:p>
        </w:tc>
        <w:tc>
          <w:tcPr>
            <w:tcW w:w="1700" w:type="dxa"/>
            <w:gridSpan w:val="11"/>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99</w:t>
            </w:r>
          </w:p>
        </w:tc>
        <w:tc>
          <w:tcPr>
            <w:tcW w:w="1313" w:type="dxa"/>
            <w:gridSpan w:val="3"/>
            <w:tcBorders>
              <w:tl2br w:val="nil"/>
              <w:tr2bl w:val="nil"/>
            </w:tcBorders>
            <w:vAlign w:val="center"/>
          </w:tcPr>
          <w:p>
            <w:pPr>
              <w:adjustRightInd w:val="0"/>
              <w:snapToGrid w:val="0"/>
              <w:jc w:val="center"/>
              <w:rPr>
                <w:rFonts w:ascii="Times New Roman" w:hAnsi="Times New Roman" w:eastAsia="宋体" w:cs="Times New Roman"/>
                <w:bCs/>
                <w:szCs w:val="21"/>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科研条件</w:t>
            </w:r>
          </w:p>
          <w:p>
            <w:pPr>
              <w:adjustRightInd w:val="0"/>
              <w:snapToGrid w:val="0"/>
              <w:jc w:val="center"/>
              <w:rPr>
                <w:rFonts w:ascii="宋体" w:hAnsi="宋体" w:eastAsia="宋体" w:cs="Times New Roman"/>
                <w:bCs/>
                <w:szCs w:val="21"/>
              </w:rPr>
            </w:pPr>
            <w:r>
              <w:rPr>
                <w:rFonts w:ascii="宋体" w:hAnsi="宋体" w:eastAsia="宋体" w:cs="Times New Roman"/>
                <w:bCs/>
                <w:szCs w:val="21"/>
              </w:rPr>
              <w:t>（当前</w:t>
            </w:r>
          </w:p>
          <w:p>
            <w:pPr>
              <w:adjustRightInd w:val="0"/>
              <w:snapToGrid w:val="0"/>
              <w:jc w:val="center"/>
              <w:rPr>
                <w:rFonts w:ascii="宋体" w:hAnsi="宋体" w:eastAsia="宋体" w:cs="Times New Roman"/>
                <w:bCs/>
                <w:szCs w:val="21"/>
              </w:rPr>
            </w:pPr>
            <w:r>
              <w:rPr>
                <w:rFonts w:ascii="宋体" w:hAnsi="宋体" w:eastAsia="宋体" w:cs="Times New Roman"/>
                <w:bCs/>
                <w:szCs w:val="21"/>
              </w:rPr>
              <w:t>情况）</w:t>
            </w: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实验室面积</w:t>
            </w:r>
          </w:p>
        </w:tc>
        <w:tc>
          <w:tcPr>
            <w:tcW w:w="4045" w:type="dxa"/>
            <w:gridSpan w:val="1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1500+2400平方米</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科研仪器、设备累计</w:t>
            </w:r>
          </w:p>
        </w:tc>
        <w:tc>
          <w:tcPr>
            <w:tcW w:w="1807" w:type="dxa"/>
            <w:gridSpan w:val="7"/>
            <w:tcBorders>
              <w:tl2br w:val="nil"/>
              <w:tr2bl w:val="nil"/>
            </w:tcBorders>
            <w:vAlign w:val="center"/>
          </w:tcPr>
          <w:p>
            <w:pPr>
              <w:adjustRightInd w:val="0"/>
              <w:snapToGrid w:val="0"/>
              <w:jc w:val="right"/>
              <w:rPr>
                <w:rFonts w:ascii="Times New Roman" w:hAnsi="Times New Roman" w:eastAsia="宋体" w:cs="Times New Roman"/>
                <w:bCs/>
                <w:szCs w:val="21"/>
                <w:highlight w:val="yellow"/>
              </w:rPr>
            </w:pPr>
            <w:r>
              <w:rPr>
                <w:rFonts w:hint="eastAsia" w:ascii="Times New Roman" w:hAnsi="Times New Roman" w:eastAsia="宋体" w:cs="Times New Roman"/>
                <w:bCs/>
                <w:szCs w:val="21"/>
              </w:rPr>
              <w:t>3</w:t>
            </w:r>
            <w:r>
              <w:rPr>
                <w:rFonts w:ascii="Times New Roman" w:hAnsi="Times New Roman" w:eastAsia="宋体" w:cs="Times New Roman"/>
                <w:bCs/>
                <w:szCs w:val="21"/>
              </w:rPr>
              <w:t>2台（套）</w:t>
            </w:r>
          </w:p>
        </w:tc>
        <w:tc>
          <w:tcPr>
            <w:tcW w:w="2238" w:type="dxa"/>
            <w:gridSpan w:val="10"/>
            <w:tcBorders>
              <w:tl2br w:val="nil"/>
              <w:tr2bl w:val="nil"/>
            </w:tcBorders>
            <w:vAlign w:val="center"/>
          </w:tcPr>
          <w:p>
            <w:pPr>
              <w:adjustRightInd w:val="0"/>
              <w:snapToGrid w:val="0"/>
              <w:jc w:val="right"/>
              <w:rPr>
                <w:rFonts w:ascii="Times New Roman" w:hAnsi="Times New Roman" w:eastAsia="宋体" w:cs="Times New Roman"/>
                <w:bCs/>
                <w:szCs w:val="21"/>
              </w:rPr>
            </w:pPr>
            <w:r>
              <w:rPr>
                <w:rFonts w:hint="eastAsia" w:ascii="Times New Roman" w:hAnsi="Times New Roman" w:eastAsia="宋体" w:cs="Times New Roman"/>
                <w:bCs/>
                <w:szCs w:val="21"/>
              </w:rPr>
              <w:t xml:space="preserve"> 3776.17</w:t>
            </w:r>
            <w:r>
              <w:rPr>
                <w:rFonts w:ascii="Times New Roman" w:hAnsi="Times New Roman" w:eastAsia="宋体" w:cs="Times New Roman"/>
                <w:bCs/>
                <w:szCs w:val="21"/>
              </w:rPr>
              <w:t>万元（原值）</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大型仪器、设备（30万元以上）</w:t>
            </w:r>
          </w:p>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累计</w:t>
            </w:r>
          </w:p>
        </w:tc>
        <w:tc>
          <w:tcPr>
            <w:tcW w:w="1807" w:type="dxa"/>
            <w:gridSpan w:val="7"/>
            <w:tcBorders>
              <w:tl2br w:val="nil"/>
              <w:tr2bl w:val="nil"/>
            </w:tcBorders>
            <w:vAlign w:val="center"/>
          </w:tcPr>
          <w:p>
            <w:pPr>
              <w:adjustRightInd w:val="0"/>
              <w:snapToGrid w:val="0"/>
              <w:jc w:val="right"/>
              <w:rPr>
                <w:rFonts w:ascii="Times New Roman" w:hAnsi="Times New Roman" w:eastAsia="宋体" w:cs="Times New Roman"/>
                <w:bCs/>
                <w:szCs w:val="21"/>
                <w:highlight w:val="yellow"/>
              </w:rPr>
            </w:pPr>
            <w:r>
              <w:rPr>
                <w:rFonts w:ascii="Times New Roman" w:hAnsi="Times New Roman" w:eastAsia="宋体" w:cs="Times New Roman"/>
                <w:bCs/>
                <w:szCs w:val="21"/>
              </w:rPr>
              <w:t>8台（套）</w:t>
            </w:r>
          </w:p>
        </w:tc>
        <w:tc>
          <w:tcPr>
            <w:tcW w:w="2238" w:type="dxa"/>
            <w:gridSpan w:val="10"/>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1169.2万元（原值）</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科研情况</w:t>
            </w:r>
          </w:p>
          <w:p>
            <w:pPr>
              <w:adjustRightInd w:val="0"/>
              <w:snapToGrid w:val="0"/>
              <w:jc w:val="center"/>
              <w:rPr>
                <w:rFonts w:ascii="宋体" w:hAnsi="宋体" w:eastAsia="宋体" w:cs="Times New Roman"/>
                <w:bCs/>
                <w:szCs w:val="21"/>
              </w:rPr>
            </w:pP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 xml:space="preserve">项目课题（合计）      </w:t>
            </w:r>
          </w:p>
        </w:tc>
        <w:tc>
          <w:tcPr>
            <w:tcW w:w="1387"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4项</w:t>
            </w:r>
          </w:p>
        </w:tc>
        <w:tc>
          <w:tcPr>
            <w:tcW w:w="1168" w:type="dxa"/>
            <w:gridSpan w:val="7"/>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经费合计</w:t>
            </w:r>
          </w:p>
        </w:tc>
        <w:tc>
          <w:tcPr>
            <w:tcW w:w="1490"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94万元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 xml:space="preserve">承担国家级项目（课题）     </w:t>
            </w:r>
          </w:p>
        </w:tc>
        <w:tc>
          <w:tcPr>
            <w:tcW w:w="1387"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1项</w:t>
            </w:r>
          </w:p>
        </w:tc>
        <w:tc>
          <w:tcPr>
            <w:tcW w:w="1168" w:type="dxa"/>
            <w:gridSpan w:val="7"/>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经费合计</w:t>
            </w:r>
          </w:p>
        </w:tc>
        <w:tc>
          <w:tcPr>
            <w:tcW w:w="1490"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35万元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承担省部级项目（课题）</w:t>
            </w:r>
          </w:p>
        </w:tc>
        <w:tc>
          <w:tcPr>
            <w:tcW w:w="1387"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2项</w:t>
            </w:r>
          </w:p>
        </w:tc>
        <w:tc>
          <w:tcPr>
            <w:tcW w:w="1168" w:type="dxa"/>
            <w:gridSpan w:val="7"/>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经费合计</w:t>
            </w:r>
          </w:p>
        </w:tc>
        <w:tc>
          <w:tcPr>
            <w:tcW w:w="1490"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56万元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承担地市级项目（课题）</w:t>
            </w:r>
          </w:p>
        </w:tc>
        <w:tc>
          <w:tcPr>
            <w:tcW w:w="1387"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项</w:t>
            </w:r>
          </w:p>
        </w:tc>
        <w:tc>
          <w:tcPr>
            <w:tcW w:w="1168" w:type="dxa"/>
            <w:gridSpan w:val="7"/>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经费合计</w:t>
            </w:r>
          </w:p>
        </w:tc>
        <w:tc>
          <w:tcPr>
            <w:tcW w:w="1490"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3232" w:type="dxa"/>
            <w:gridSpan w:val="10"/>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承担横向项目（课题）</w:t>
            </w:r>
          </w:p>
        </w:tc>
        <w:tc>
          <w:tcPr>
            <w:tcW w:w="1387" w:type="dxa"/>
            <w:gridSpan w:val="5"/>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168" w:type="dxa"/>
            <w:gridSpan w:val="7"/>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经费合计</w:t>
            </w:r>
          </w:p>
        </w:tc>
        <w:tc>
          <w:tcPr>
            <w:tcW w:w="1490" w:type="dxa"/>
            <w:gridSpan w:val="5"/>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
                <w:bCs/>
                <w:szCs w:val="21"/>
              </w:rPr>
              <w:t>获奖情况</w:t>
            </w: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国家级科技奖励</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一等奖</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 xml:space="preserve"> 项</w:t>
            </w:r>
          </w:p>
        </w:tc>
        <w:tc>
          <w:tcPr>
            <w:tcW w:w="1168" w:type="dxa"/>
            <w:gridSpan w:val="7"/>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二等奖</w:t>
            </w:r>
          </w:p>
        </w:tc>
        <w:tc>
          <w:tcPr>
            <w:tcW w:w="1490" w:type="dxa"/>
            <w:gridSpan w:val="5"/>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 xml:space="preserve">省、部级科技奖励 </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一等奖</w:t>
            </w:r>
          </w:p>
        </w:tc>
        <w:tc>
          <w:tcPr>
            <w:tcW w:w="745" w:type="dxa"/>
            <w:gridSpan w:val="3"/>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009"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二等奖</w:t>
            </w:r>
          </w:p>
        </w:tc>
        <w:tc>
          <w:tcPr>
            <w:tcW w:w="813" w:type="dxa"/>
            <w:gridSpan w:val="4"/>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928" w:type="dxa"/>
            <w:gridSpan w:val="7"/>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三等奖</w:t>
            </w:r>
          </w:p>
        </w:tc>
        <w:tc>
          <w:tcPr>
            <w:tcW w:w="917" w:type="dxa"/>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 xml:space="preserve">行业科技奖励 </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一等奖</w:t>
            </w:r>
          </w:p>
        </w:tc>
        <w:tc>
          <w:tcPr>
            <w:tcW w:w="745" w:type="dxa"/>
            <w:gridSpan w:val="3"/>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009"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二等奖</w:t>
            </w:r>
          </w:p>
        </w:tc>
        <w:tc>
          <w:tcPr>
            <w:tcW w:w="813" w:type="dxa"/>
            <w:gridSpan w:val="4"/>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928" w:type="dxa"/>
            <w:gridSpan w:val="7"/>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三等奖</w:t>
            </w:r>
          </w:p>
        </w:tc>
        <w:tc>
          <w:tcPr>
            <w:tcW w:w="917" w:type="dxa"/>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
                <w:bCs/>
                <w:szCs w:val="21"/>
              </w:rPr>
              <w:t>论文专著</w:t>
            </w: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发表</w:t>
            </w:r>
            <w:r>
              <w:rPr>
                <w:rFonts w:hint="eastAsia" w:ascii="宋体" w:hAnsi="宋体" w:eastAsia="宋体" w:cs="Times New Roman"/>
                <w:bCs/>
                <w:szCs w:val="21"/>
              </w:rPr>
              <w:t>三类</w:t>
            </w:r>
            <w:r>
              <w:rPr>
                <w:rFonts w:ascii="宋体" w:hAnsi="宋体" w:eastAsia="宋体" w:cs="Times New Roman"/>
                <w:bCs/>
                <w:szCs w:val="21"/>
              </w:rPr>
              <w:t>高质量论文</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共计</w:t>
            </w:r>
          </w:p>
        </w:tc>
        <w:tc>
          <w:tcPr>
            <w:tcW w:w="4412" w:type="dxa"/>
            <w:gridSpan w:val="19"/>
            <w:tcBorders>
              <w:tl2br w:val="nil"/>
              <w:tr2bl w:val="nil"/>
            </w:tcBorders>
            <w:vAlign w:val="center"/>
          </w:tcPr>
          <w:p>
            <w:pPr>
              <w:adjustRightInd w:val="0"/>
              <w:snapToGrid w:val="0"/>
              <w:jc w:val="right"/>
              <w:rPr>
                <w:rFonts w:ascii="宋体" w:hAnsi="宋体" w:eastAsia="宋体" w:cs="Times New Roman"/>
                <w:bCs/>
                <w:szCs w:val="21"/>
              </w:rPr>
            </w:pPr>
            <w:r>
              <w:rPr>
                <w:rFonts w:ascii="Times New Roman" w:hAnsi="Times New Roman" w:eastAsia="宋体" w:cs="Times New Roman"/>
                <w:bCs/>
                <w:szCs w:val="21"/>
              </w:rPr>
              <w:t xml:space="preserve">4 </w:t>
            </w:r>
            <w:r>
              <w:rPr>
                <w:rFonts w:ascii="宋体" w:hAnsi="宋体" w:eastAsia="宋体" w:cs="Times New Roman"/>
                <w:bCs/>
                <w:szCs w:val="21"/>
              </w:rPr>
              <w:t>篇</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专</w:t>
            </w:r>
            <w:r>
              <w:rPr>
                <w:rFonts w:hint="eastAsia" w:ascii="宋体" w:hAnsi="宋体" w:eastAsia="宋体" w:cs="Times New Roman"/>
                <w:bCs/>
                <w:szCs w:val="21"/>
              </w:rPr>
              <w:t xml:space="preserve">  </w:t>
            </w:r>
            <w:r>
              <w:rPr>
                <w:rFonts w:ascii="宋体" w:hAnsi="宋体" w:eastAsia="宋体" w:cs="Times New Roman"/>
                <w:bCs/>
                <w:szCs w:val="21"/>
              </w:rPr>
              <w:t>著</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国内出版</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部</w:t>
            </w:r>
          </w:p>
        </w:tc>
        <w:tc>
          <w:tcPr>
            <w:tcW w:w="1078" w:type="dxa"/>
            <w:gridSpan w:val="6"/>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国外出版</w:t>
            </w:r>
          </w:p>
        </w:tc>
        <w:tc>
          <w:tcPr>
            <w:tcW w:w="1580" w:type="dxa"/>
            <w:gridSpan w:val="6"/>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部</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169"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知识产权</w:t>
            </w:r>
          </w:p>
          <w:p>
            <w:pPr>
              <w:adjustRightInd w:val="0"/>
              <w:snapToGrid w:val="0"/>
              <w:jc w:val="center"/>
              <w:rPr>
                <w:rFonts w:ascii="宋体" w:hAnsi="宋体" w:eastAsia="宋体" w:cs="Times New Roman"/>
                <w:bCs/>
                <w:szCs w:val="21"/>
              </w:rPr>
            </w:pP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788" w:type="dxa"/>
            <w:gridSpan w:val="4"/>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发明专利</w:t>
            </w:r>
          </w:p>
        </w:tc>
        <w:tc>
          <w:tcPr>
            <w:tcW w:w="1077" w:type="dxa"/>
            <w:gridSpan w:val="4"/>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国际</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（授权）</w:t>
            </w:r>
            <w:r>
              <w:rPr>
                <w:rFonts w:ascii="宋体" w:hAnsi="宋体" w:eastAsia="宋体" w:cs="Times New Roman"/>
                <w:bCs/>
                <w:szCs w:val="21"/>
              </w:rPr>
              <w:t>项</w:t>
            </w:r>
          </w:p>
        </w:tc>
        <w:tc>
          <w:tcPr>
            <w:tcW w:w="1078" w:type="dxa"/>
            <w:gridSpan w:val="6"/>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国内</w:t>
            </w:r>
          </w:p>
        </w:tc>
        <w:tc>
          <w:tcPr>
            <w:tcW w:w="1580" w:type="dxa"/>
            <w:gridSpan w:val="6"/>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（授权）</w:t>
            </w:r>
            <w:r>
              <w:rPr>
                <w:rFonts w:ascii="Times New Roman" w:hAnsi="Times New Roman" w:eastAsia="楷体" w:cs="Times New Roman"/>
                <w:bCs/>
                <w:szCs w:val="21"/>
              </w:rPr>
              <w:t>2</w:t>
            </w:r>
            <w:r>
              <w:rPr>
                <w:rFonts w:ascii="Times New Roman" w:hAnsi="Times New Roman" w:eastAsia="宋体" w:cs="Times New Roman"/>
                <w:bCs/>
                <w:szCs w:val="21"/>
              </w:rPr>
              <w:t>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169"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
                <w:bCs/>
                <w:szCs w:val="21"/>
              </w:rPr>
            </w:pPr>
          </w:p>
        </w:tc>
        <w:tc>
          <w:tcPr>
            <w:tcW w:w="1788" w:type="dxa"/>
            <w:gridSpan w:val="4"/>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077" w:type="dxa"/>
            <w:gridSpan w:val="4"/>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（申请）</w:t>
            </w:r>
            <w:r>
              <w:rPr>
                <w:rFonts w:ascii="宋体" w:hAnsi="宋体" w:eastAsia="宋体" w:cs="Times New Roman"/>
                <w:bCs/>
                <w:szCs w:val="21"/>
              </w:rPr>
              <w:t>项</w:t>
            </w:r>
          </w:p>
        </w:tc>
        <w:tc>
          <w:tcPr>
            <w:tcW w:w="1078" w:type="dxa"/>
            <w:gridSpan w:val="6"/>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580" w:type="dxa"/>
            <w:gridSpan w:val="6"/>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（申请）项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169" w:hRule="atLeast"/>
          <w:jc w:val="center"/>
        </w:trPr>
        <w:tc>
          <w:tcPr>
            <w:tcW w:w="1115" w:type="dxa"/>
            <w:vMerge w:val="continue"/>
            <w:tcBorders>
              <w:tl2br w:val="nil"/>
              <w:tr2bl w:val="nil"/>
            </w:tcBorders>
            <w:vAlign w:val="center"/>
          </w:tcPr>
          <w:p>
            <w:pPr>
              <w:adjustRightInd w:val="0"/>
              <w:snapToGrid w:val="0"/>
              <w:rPr>
                <w:rFonts w:ascii="宋体" w:hAnsi="宋体" w:eastAsia="宋体" w:cs="Times New Roman"/>
                <w:b/>
                <w:bCs/>
                <w:szCs w:val="21"/>
              </w:rPr>
            </w:pPr>
          </w:p>
        </w:tc>
        <w:tc>
          <w:tcPr>
            <w:tcW w:w="1788" w:type="dxa"/>
            <w:gridSpan w:val="4"/>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其它专利</w:t>
            </w:r>
          </w:p>
        </w:tc>
        <w:tc>
          <w:tcPr>
            <w:tcW w:w="1077" w:type="dxa"/>
            <w:gridSpan w:val="4"/>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国际</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（授权）</w:t>
            </w:r>
            <w:r>
              <w:rPr>
                <w:rFonts w:ascii="宋体" w:hAnsi="宋体" w:eastAsia="宋体" w:cs="Times New Roman"/>
                <w:bCs/>
                <w:szCs w:val="21"/>
              </w:rPr>
              <w:t>项</w:t>
            </w:r>
          </w:p>
        </w:tc>
        <w:tc>
          <w:tcPr>
            <w:tcW w:w="1078" w:type="dxa"/>
            <w:gridSpan w:val="6"/>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国内</w:t>
            </w:r>
          </w:p>
        </w:tc>
        <w:tc>
          <w:tcPr>
            <w:tcW w:w="1580" w:type="dxa"/>
            <w:gridSpan w:val="6"/>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（授权）7项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169" w:hRule="atLeast"/>
          <w:jc w:val="center"/>
        </w:trPr>
        <w:tc>
          <w:tcPr>
            <w:tcW w:w="1115" w:type="dxa"/>
            <w:vMerge w:val="continue"/>
            <w:tcBorders>
              <w:tl2br w:val="nil"/>
              <w:tr2bl w:val="nil"/>
            </w:tcBorders>
            <w:vAlign w:val="center"/>
          </w:tcPr>
          <w:p>
            <w:pPr>
              <w:adjustRightInd w:val="0"/>
              <w:snapToGrid w:val="0"/>
              <w:rPr>
                <w:rFonts w:ascii="宋体" w:hAnsi="宋体" w:eastAsia="宋体" w:cs="Times New Roman"/>
                <w:b/>
                <w:bCs/>
                <w:szCs w:val="21"/>
              </w:rPr>
            </w:pPr>
          </w:p>
        </w:tc>
        <w:tc>
          <w:tcPr>
            <w:tcW w:w="1788" w:type="dxa"/>
            <w:gridSpan w:val="4"/>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077" w:type="dxa"/>
            <w:gridSpan w:val="4"/>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（申请）</w:t>
            </w:r>
            <w:r>
              <w:rPr>
                <w:rFonts w:ascii="宋体" w:hAnsi="宋体" w:eastAsia="宋体" w:cs="Times New Roman"/>
                <w:bCs/>
                <w:szCs w:val="21"/>
              </w:rPr>
              <w:t>项</w:t>
            </w:r>
          </w:p>
        </w:tc>
        <w:tc>
          <w:tcPr>
            <w:tcW w:w="1078" w:type="dxa"/>
            <w:gridSpan w:val="6"/>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580" w:type="dxa"/>
            <w:gridSpan w:val="6"/>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（申请）</w:t>
            </w:r>
            <w:r>
              <w:rPr>
                <w:rFonts w:ascii="宋体" w:hAnsi="宋体" w:eastAsia="宋体" w:cs="Times New Roman"/>
                <w:bCs/>
                <w:szCs w:val="21"/>
              </w:rPr>
              <w:t>项</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标准规范</w:t>
            </w: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国际标准</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个</w:t>
            </w:r>
          </w:p>
        </w:tc>
        <w:tc>
          <w:tcPr>
            <w:tcW w:w="1078" w:type="dxa"/>
            <w:gridSpan w:val="6"/>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国家标准</w:t>
            </w:r>
          </w:p>
        </w:tc>
        <w:tc>
          <w:tcPr>
            <w:tcW w:w="1580" w:type="dxa"/>
            <w:gridSpan w:val="6"/>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个</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077"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行业标准</w:t>
            </w:r>
          </w:p>
        </w:tc>
        <w:tc>
          <w:tcPr>
            <w:tcW w:w="1754"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个</w:t>
            </w:r>
          </w:p>
        </w:tc>
        <w:tc>
          <w:tcPr>
            <w:tcW w:w="1078" w:type="dxa"/>
            <w:gridSpan w:val="6"/>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团体标准</w:t>
            </w:r>
          </w:p>
        </w:tc>
        <w:tc>
          <w:tcPr>
            <w:tcW w:w="1580" w:type="dxa"/>
            <w:gridSpan w:val="6"/>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个</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82"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szCs w:val="21"/>
              </w:rPr>
            </w:pPr>
            <w:r>
              <w:rPr>
                <w:rFonts w:ascii="宋体" w:hAnsi="宋体" w:eastAsia="宋体" w:cs="Times New Roman"/>
                <w:b/>
                <w:szCs w:val="21"/>
              </w:rPr>
              <w:t>产学研</w:t>
            </w:r>
          </w:p>
          <w:p>
            <w:pPr>
              <w:adjustRightInd w:val="0"/>
              <w:snapToGrid w:val="0"/>
              <w:jc w:val="center"/>
              <w:rPr>
                <w:rFonts w:ascii="宋体" w:hAnsi="宋体" w:eastAsia="宋体" w:cs="Times New Roman"/>
                <w:b/>
                <w:szCs w:val="21"/>
              </w:rPr>
            </w:pPr>
            <w:r>
              <w:rPr>
                <w:rFonts w:ascii="宋体" w:hAnsi="宋体" w:eastAsia="宋体" w:cs="Times New Roman"/>
                <w:b/>
                <w:szCs w:val="21"/>
              </w:rPr>
              <w:t>合作</w:t>
            </w:r>
          </w:p>
          <w:p>
            <w:pPr>
              <w:adjustRightInd w:val="0"/>
              <w:snapToGrid w:val="0"/>
              <w:jc w:val="center"/>
              <w:rPr>
                <w:rFonts w:ascii="宋体" w:hAnsi="宋体" w:eastAsia="宋体" w:cs="Times New Roman"/>
                <w:bCs/>
                <w:szCs w:val="21"/>
              </w:rPr>
            </w:pP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788" w:type="dxa"/>
            <w:gridSpan w:val="4"/>
            <w:tcBorders>
              <w:tl2br w:val="nil"/>
              <w:tr2bl w:val="nil"/>
            </w:tcBorders>
            <w:vAlign w:val="center"/>
          </w:tcPr>
          <w:p>
            <w:pPr>
              <w:adjustRightInd w:val="0"/>
              <w:snapToGrid w:val="0"/>
              <w:rPr>
                <w:rFonts w:ascii="宋体" w:hAnsi="宋体" w:eastAsia="宋体" w:cs="Times New Roman"/>
                <w:bCs/>
                <w:szCs w:val="21"/>
              </w:rPr>
            </w:pPr>
            <w:r>
              <w:rPr>
                <w:rFonts w:ascii="宋体" w:hAnsi="宋体" w:eastAsia="宋体" w:cs="Times New Roman"/>
                <w:bCs/>
                <w:szCs w:val="21"/>
              </w:rPr>
              <w:t>与高校、院所合作</w:t>
            </w:r>
          </w:p>
        </w:tc>
        <w:tc>
          <w:tcPr>
            <w:tcW w:w="1847" w:type="dxa"/>
            <w:gridSpan w:val="8"/>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817" w:type="dxa"/>
            <w:gridSpan w:val="8"/>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合作经费</w:t>
            </w:r>
          </w:p>
        </w:tc>
        <w:tc>
          <w:tcPr>
            <w:tcW w:w="1825"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83"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与企业合作</w:t>
            </w:r>
          </w:p>
        </w:tc>
        <w:tc>
          <w:tcPr>
            <w:tcW w:w="1847" w:type="dxa"/>
            <w:gridSpan w:val="8"/>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1项</w:t>
            </w:r>
          </w:p>
        </w:tc>
        <w:tc>
          <w:tcPr>
            <w:tcW w:w="1817"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合作经费</w:t>
            </w:r>
          </w:p>
        </w:tc>
        <w:tc>
          <w:tcPr>
            <w:tcW w:w="1825"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3.5万元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szCs w:val="21"/>
              </w:rPr>
            </w:pPr>
            <w:r>
              <w:rPr>
                <w:rFonts w:ascii="宋体" w:hAnsi="宋体" w:eastAsia="宋体" w:cs="Times New Roman"/>
                <w:b/>
                <w:szCs w:val="21"/>
              </w:rPr>
              <w:t>行业支撑</w:t>
            </w:r>
          </w:p>
          <w:p>
            <w:pPr>
              <w:adjustRightInd w:val="0"/>
              <w:snapToGrid w:val="0"/>
              <w:jc w:val="center"/>
              <w:rPr>
                <w:rFonts w:ascii="宋体" w:hAnsi="宋体" w:eastAsia="宋体" w:cs="Times New Roman"/>
                <w:b/>
                <w:szCs w:val="21"/>
              </w:rPr>
            </w:pP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788" w:type="dxa"/>
            <w:gridSpan w:val="4"/>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成果转移转化</w:t>
            </w:r>
          </w:p>
        </w:tc>
        <w:tc>
          <w:tcPr>
            <w:tcW w:w="1847" w:type="dxa"/>
            <w:gridSpan w:val="8"/>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817" w:type="dxa"/>
            <w:gridSpan w:val="8"/>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转移转化收入</w:t>
            </w:r>
          </w:p>
        </w:tc>
        <w:tc>
          <w:tcPr>
            <w:tcW w:w="1825" w:type="dxa"/>
            <w:gridSpan w:val="7"/>
            <w:tcBorders>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bottom w:val="single" w:color="auto" w:sz="4" w:space="0"/>
              <w:tl2br w:val="nil"/>
              <w:tr2bl w:val="nil"/>
            </w:tcBorders>
            <w:vAlign w:val="center"/>
          </w:tcPr>
          <w:p>
            <w:pPr>
              <w:adjustRightInd w:val="0"/>
              <w:snapToGrid w:val="0"/>
              <w:jc w:val="center"/>
              <w:rPr>
                <w:rFonts w:ascii="宋体" w:hAnsi="宋体" w:eastAsia="宋体" w:cs="Times New Roman"/>
                <w:bCs/>
                <w:szCs w:val="21"/>
              </w:rPr>
            </w:pPr>
          </w:p>
        </w:tc>
        <w:tc>
          <w:tcPr>
            <w:tcW w:w="1788" w:type="dxa"/>
            <w:gridSpan w:val="4"/>
            <w:tcBorders>
              <w:bottom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行业技术服务</w:t>
            </w:r>
          </w:p>
        </w:tc>
        <w:tc>
          <w:tcPr>
            <w:tcW w:w="1847" w:type="dxa"/>
            <w:gridSpan w:val="8"/>
            <w:tcBorders>
              <w:bottom w:val="single" w:color="auto" w:sz="4" w:space="0"/>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项</w:t>
            </w:r>
          </w:p>
        </w:tc>
        <w:tc>
          <w:tcPr>
            <w:tcW w:w="1817" w:type="dxa"/>
            <w:gridSpan w:val="8"/>
            <w:tcBorders>
              <w:bottom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服务收入</w:t>
            </w:r>
          </w:p>
        </w:tc>
        <w:tc>
          <w:tcPr>
            <w:tcW w:w="1825" w:type="dxa"/>
            <w:gridSpan w:val="7"/>
            <w:tcBorders>
              <w:bottom w:val="single" w:color="auto" w:sz="4" w:space="0"/>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225" w:hRule="atLeast"/>
          <w:jc w:val="center"/>
        </w:trPr>
        <w:tc>
          <w:tcPr>
            <w:tcW w:w="1115" w:type="dxa"/>
            <w:vMerge w:val="restart"/>
            <w:tcBorders>
              <w:left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hint="eastAsia" w:ascii="宋体" w:hAnsi="宋体" w:eastAsia="宋体" w:cs="Times New Roman"/>
                <w:b/>
                <w:szCs w:val="21"/>
              </w:rPr>
              <w:t>人才团队</w:t>
            </w:r>
            <w:r>
              <w:rPr>
                <w:rFonts w:hint="eastAsia" w:ascii="宋体" w:hAnsi="宋体" w:eastAsia="宋体" w:cs="Times New Roman"/>
                <w:bCs/>
                <w:szCs w:val="21"/>
              </w:rPr>
              <w:t>（当前情况）</w:t>
            </w:r>
          </w:p>
        </w:tc>
        <w:tc>
          <w:tcPr>
            <w:tcW w:w="1209"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hint="eastAsia" w:ascii="宋体" w:hAnsi="宋体" w:eastAsia="宋体" w:cs="Times New Roman"/>
                <w:bCs/>
                <w:szCs w:val="21"/>
              </w:rPr>
              <w:t>高级职称</w:t>
            </w:r>
          </w:p>
        </w:tc>
        <w:tc>
          <w:tcPr>
            <w:tcW w:w="1213"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固定</w:t>
            </w:r>
          </w:p>
        </w:tc>
        <w:tc>
          <w:tcPr>
            <w:tcW w:w="1213" w:type="dxa"/>
            <w:gridSpan w:val="6"/>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szCs w:val="32"/>
              </w:rPr>
            </w:pPr>
            <w:r>
              <w:rPr>
                <w:rFonts w:ascii="Times New Roman" w:hAnsi="Times New Roman" w:eastAsia="宋体" w:cs="Times New Roman"/>
                <w:bCs/>
                <w:szCs w:val="21"/>
              </w:rPr>
              <w:t>6人</w:t>
            </w:r>
          </w:p>
        </w:tc>
        <w:tc>
          <w:tcPr>
            <w:tcW w:w="1214" w:type="dxa"/>
            <w:gridSpan w:val="4"/>
            <w:vMerge w:val="restart"/>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中级职称</w:t>
            </w:r>
          </w:p>
        </w:tc>
        <w:tc>
          <w:tcPr>
            <w:tcW w:w="1212" w:type="dxa"/>
            <w:gridSpan w:val="9"/>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固定</w:t>
            </w:r>
          </w:p>
        </w:tc>
        <w:tc>
          <w:tcPr>
            <w:tcW w:w="1216"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szCs w:val="32"/>
              </w:rPr>
            </w:pPr>
            <w:r>
              <w:rPr>
                <w:rFonts w:ascii="Times New Roman" w:hAnsi="Times New Roman" w:eastAsia="宋体" w:cs="Times New Roman"/>
                <w:bCs/>
                <w:szCs w:val="21"/>
              </w:rPr>
              <w:t>4人</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225" w:hRule="atLeast"/>
          <w:jc w:val="center"/>
        </w:trPr>
        <w:tc>
          <w:tcPr>
            <w:tcW w:w="1115" w:type="dxa"/>
            <w:vMerge w:val="continue"/>
            <w:tcBorders>
              <w:left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
                <w:szCs w:val="21"/>
              </w:rPr>
            </w:pPr>
          </w:p>
        </w:tc>
        <w:tc>
          <w:tcPr>
            <w:tcW w:w="1209"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宋体" w:hAnsi="宋体" w:eastAsia="宋体" w:cs="Times New Roman"/>
                <w:bCs/>
                <w:szCs w:val="21"/>
              </w:rPr>
            </w:pPr>
          </w:p>
        </w:tc>
        <w:tc>
          <w:tcPr>
            <w:tcW w:w="1213"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流动</w:t>
            </w:r>
          </w:p>
        </w:tc>
        <w:tc>
          <w:tcPr>
            <w:tcW w:w="1213" w:type="dxa"/>
            <w:gridSpan w:val="6"/>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1人</w:t>
            </w:r>
          </w:p>
        </w:tc>
        <w:tc>
          <w:tcPr>
            <w:tcW w:w="1214" w:type="dxa"/>
            <w:gridSpan w:val="4"/>
            <w:vMerge w:val="continue"/>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p>
        </w:tc>
        <w:tc>
          <w:tcPr>
            <w:tcW w:w="1212" w:type="dxa"/>
            <w:gridSpan w:val="9"/>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流动</w:t>
            </w:r>
          </w:p>
        </w:tc>
        <w:tc>
          <w:tcPr>
            <w:tcW w:w="1216"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5人</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225" w:hRule="atLeast"/>
          <w:jc w:val="center"/>
        </w:trPr>
        <w:tc>
          <w:tcPr>
            <w:tcW w:w="1115" w:type="dxa"/>
            <w:vMerge w:val="continue"/>
            <w:tcBorders>
              <w:left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
                <w:szCs w:val="21"/>
              </w:rPr>
            </w:pPr>
          </w:p>
        </w:tc>
        <w:tc>
          <w:tcPr>
            <w:tcW w:w="1209" w:type="dxa"/>
            <w:gridSpan w:val="2"/>
            <w:vMerge w:val="restart"/>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hint="eastAsia" w:ascii="宋体" w:hAnsi="宋体" w:eastAsia="宋体" w:cs="Times New Roman"/>
                <w:bCs/>
                <w:szCs w:val="21"/>
              </w:rPr>
              <w:t>初级职称</w:t>
            </w:r>
          </w:p>
        </w:tc>
        <w:tc>
          <w:tcPr>
            <w:tcW w:w="1213"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固定</w:t>
            </w:r>
          </w:p>
        </w:tc>
        <w:tc>
          <w:tcPr>
            <w:tcW w:w="1213" w:type="dxa"/>
            <w:gridSpan w:val="6"/>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szCs w:val="32"/>
              </w:rPr>
            </w:pPr>
            <w:r>
              <w:rPr>
                <w:rFonts w:ascii="Times New Roman" w:hAnsi="Times New Roman" w:eastAsia="宋体" w:cs="Times New Roman"/>
                <w:bCs/>
                <w:szCs w:val="21"/>
              </w:rPr>
              <w:t>3人</w:t>
            </w:r>
          </w:p>
        </w:tc>
        <w:tc>
          <w:tcPr>
            <w:tcW w:w="1214" w:type="dxa"/>
            <w:gridSpan w:val="4"/>
            <w:vMerge w:val="restart"/>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合计</w:t>
            </w:r>
          </w:p>
        </w:tc>
        <w:tc>
          <w:tcPr>
            <w:tcW w:w="1212" w:type="dxa"/>
            <w:gridSpan w:val="9"/>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固定</w:t>
            </w:r>
          </w:p>
        </w:tc>
        <w:tc>
          <w:tcPr>
            <w:tcW w:w="1216"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szCs w:val="32"/>
              </w:rPr>
            </w:pPr>
            <w:r>
              <w:rPr>
                <w:rFonts w:ascii="Times New Roman" w:hAnsi="Times New Roman" w:eastAsia="宋体" w:cs="Times New Roman"/>
                <w:bCs/>
                <w:szCs w:val="21"/>
              </w:rPr>
              <w:t>13人</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225" w:hRule="atLeast"/>
          <w:jc w:val="center"/>
        </w:trPr>
        <w:tc>
          <w:tcPr>
            <w:tcW w:w="1115" w:type="dxa"/>
            <w:vMerge w:val="continue"/>
            <w:tcBorders>
              <w:left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
                <w:szCs w:val="21"/>
              </w:rPr>
            </w:pPr>
          </w:p>
        </w:tc>
        <w:tc>
          <w:tcPr>
            <w:tcW w:w="1209" w:type="dxa"/>
            <w:gridSpan w:val="2"/>
            <w:vMerge w:val="continue"/>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Cs/>
                <w:szCs w:val="21"/>
              </w:rPr>
            </w:pPr>
          </w:p>
        </w:tc>
        <w:tc>
          <w:tcPr>
            <w:tcW w:w="1213" w:type="dxa"/>
            <w:gridSpan w:val="4"/>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流动</w:t>
            </w:r>
          </w:p>
        </w:tc>
        <w:tc>
          <w:tcPr>
            <w:tcW w:w="1213" w:type="dxa"/>
            <w:gridSpan w:val="6"/>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5人</w:t>
            </w:r>
          </w:p>
        </w:tc>
        <w:tc>
          <w:tcPr>
            <w:tcW w:w="1214" w:type="dxa"/>
            <w:gridSpan w:val="4"/>
            <w:vMerge w:val="continue"/>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p>
        </w:tc>
        <w:tc>
          <w:tcPr>
            <w:tcW w:w="1212" w:type="dxa"/>
            <w:gridSpan w:val="9"/>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流动</w:t>
            </w:r>
          </w:p>
        </w:tc>
        <w:tc>
          <w:tcPr>
            <w:tcW w:w="1216" w:type="dxa"/>
            <w:gridSpan w:val="2"/>
            <w:tcBorders>
              <w:top w:val="single" w:color="auto" w:sz="4" w:space="0"/>
              <w:left w:val="single" w:color="auto" w:sz="4" w:space="0"/>
              <w:bottom w:val="single" w:color="auto" w:sz="4" w:space="0"/>
              <w:right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11人</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2343" w:hRule="atLeast"/>
          <w:jc w:val="center"/>
        </w:trPr>
        <w:tc>
          <w:tcPr>
            <w:tcW w:w="1115" w:type="dxa"/>
            <w:vMerge w:val="continue"/>
            <w:tcBorders>
              <w:left w:val="single" w:color="auto" w:sz="4" w:space="0"/>
              <w:right w:val="single" w:color="auto" w:sz="4" w:space="0"/>
              <w:tl2br w:val="nil"/>
              <w:tr2bl w:val="nil"/>
            </w:tcBorders>
            <w:vAlign w:val="center"/>
          </w:tcPr>
          <w:p>
            <w:pPr>
              <w:adjustRightInd w:val="0"/>
              <w:snapToGrid w:val="0"/>
              <w:jc w:val="center"/>
              <w:rPr>
                <w:rFonts w:ascii="宋体" w:hAnsi="宋体" w:eastAsia="宋体" w:cs="Times New Roman"/>
                <w:bCs/>
                <w:szCs w:val="21"/>
              </w:rPr>
            </w:pPr>
          </w:p>
        </w:tc>
        <w:tc>
          <w:tcPr>
            <w:tcW w:w="7277" w:type="dxa"/>
            <w:gridSpan w:val="27"/>
            <w:tcBorders>
              <w:top w:val="single" w:color="auto" w:sz="4" w:space="0"/>
              <w:left w:val="single" w:color="auto" w:sz="4" w:space="0"/>
              <w:right w:val="single" w:color="auto" w:sz="4" w:space="0"/>
              <w:tl2br w:val="nil"/>
              <w:tr2bl w:val="nil"/>
            </w:tcBorders>
            <w:vAlign w:val="center"/>
          </w:tcPr>
          <w:p>
            <w:pPr>
              <w:adjustRightInd w:val="0"/>
              <w:snapToGrid w:val="0"/>
              <w:jc w:val="left"/>
              <w:rPr>
                <w:rFonts w:ascii="仿宋" w:hAnsi="仿宋" w:eastAsia="仿宋" w:cs="仿宋"/>
                <w:sz w:val="24"/>
                <w:szCs w:val="24"/>
              </w:rPr>
            </w:pPr>
            <w:r>
              <w:rPr>
                <w:rFonts w:hint="eastAsia" w:ascii="仿宋" w:hAnsi="仿宋" w:eastAsia="仿宋" w:cs="仿宋"/>
                <w:sz w:val="24"/>
                <w:szCs w:val="24"/>
              </w:rPr>
              <w:t>其中领军人才情况，青年科技人才情况需加以说明。</w:t>
            </w:r>
          </w:p>
          <w:p>
            <w:pPr>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赵贵君，</w:t>
            </w:r>
            <w:r>
              <w:rPr>
                <w:rFonts w:ascii="Times New Roman" w:hAnsi="Times New Roman" w:eastAsia="仿宋" w:cs="Times New Roman"/>
                <w:sz w:val="24"/>
                <w:szCs w:val="24"/>
              </w:rPr>
              <w:t>博士，主任医师，硕士研究生导师，消化内科学及内镜学专业。</w:t>
            </w:r>
            <w:r>
              <w:rPr>
                <w:rFonts w:hint="eastAsia" w:ascii="Times New Roman" w:hAnsi="Times New Roman" w:eastAsia="仿宋" w:cs="Times New Roman"/>
                <w:sz w:val="24"/>
                <w:szCs w:val="24"/>
              </w:rPr>
              <w:t>内蒙古自治区人民医院内镜中心主任，内蒙古自治区内镜消化疾病重点实验室主任。内蒙古自治区消化疾病院士专家（沈祖尧）工作站负责人，国家消化系统疾病临床医学研究中心</w:t>
            </w:r>
            <w:r>
              <w:rPr>
                <w:rFonts w:ascii="Times New Roman" w:hAnsi="Times New Roman" w:eastAsia="仿宋" w:cs="Times New Roman"/>
                <w:sz w:val="24"/>
                <w:szCs w:val="24"/>
              </w:rPr>
              <w:t>-内蒙古自治区人民医院分中心主任。曾香港中文大学医学院消化系统疾病研究所博士访问学者及威尔亲王医院内镜中心受训并成为独立值班内镜医生。内蒙古自治区草原英才创新团队带头人，内蒙古自治区</w:t>
            </w:r>
            <w:r>
              <w:rPr>
                <w:rFonts w:hint="eastAsia" w:ascii="Times New Roman" w:hAnsi="Times New Roman" w:eastAsia="仿宋" w:cs="Times New Roman"/>
                <w:sz w:val="24"/>
                <w:szCs w:val="24"/>
              </w:rPr>
              <w:t>“</w:t>
            </w:r>
            <w:r>
              <w:rPr>
                <w:rFonts w:ascii="Times New Roman" w:hAnsi="Times New Roman" w:eastAsia="仿宋" w:cs="Times New Roman"/>
                <w:sz w:val="24"/>
                <w:szCs w:val="24"/>
              </w:rPr>
              <w:t>草原英才</w:t>
            </w:r>
            <w:r>
              <w:rPr>
                <w:rFonts w:hint="eastAsia" w:ascii="Times New Roman" w:hAnsi="Times New Roman" w:eastAsia="仿宋" w:cs="Times New Roman"/>
                <w:sz w:val="24"/>
                <w:szCs w:val="24"/>
              </w:rPr>
              <w:t>”</w:t>
            </w:r>
            <w:r>
              <w:rPr>
                <w:rFonts w:ascii="Times New Roman" w:hAnsi="Times New Roman" w:eastAsia="仿宋" w:cs="Times New Roman"/>
                <w:sz w:val="24"/>
                <w:szCs w:val="24"/>
              </w:rPr>
              <w:t>，内蒙古自治区321人才工程第一层次。</w:t>
            </w:r>
          </w:p>
          <w:p>
            <w:pPr>
              <w:rPr>
                <w:rFonts w:ascii="仿宋" w:hAnsi="仿宋" w:eastAsia="仿宋" w:cs="仿宋"/>
                <w:sz w:val="24"/>
                <w:szCs w:val="24"/>
              </w:rPr>
            </w:pPr>
          </w:p>
          <w:p>
            <w:pPr>
              <w:rPr>
                <w:rFonts w:ascii="仿宋" w:hAnsi="仿宋" w:eastAsia="仿宋" w:cs="仿宋"/>
                <w:sz w:val="24"/>
                <w:szCs w:val="24"/>
              </w:rPr>
            </w:pP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
                <w:bCs/>
                <w:szCs w:val="21"/>
              </w:rPr>
            </w:pPr>
            <w:r>
              <w:rPr>
                <w:rFonts w:ascii="宋体" w:hAnsi="宋体" w:eastAsia="宋体" w:cs="Times New Roman"/>
                <w:b/>
                <w:bCs/>
                <w:szCs w:val="21"/>
              </w:rPr>
              <w:t>运行管理</w:t>
            </w:r>
          </w:p>
          <w:p>
            <w:pPr>
              <w:adjustRightInd w:val="0"/>
              <w:snapToGrid w:val="0"/>
              <w:jc w:val="center"/>
              <w:rPr>
                <w:rFonts w:ascii="宋体" w:hAnsi="宋体" w:eastAsia="宋体" w:cs="Times New Roman"/>
                <w:bCs/>
                <w:szCs w:val="21"/>
              </w:rPr>
            </w:pPr>
          </w:p>
        </w:tc>
        <w:tc>
          <w:tcPr>
            <w:tcW w:w="1805" w:type="dxa"/>
            <w:gridSpan w:val="5"/>
            <w:tcBorders>
              <w:top w:val="single" w:color="auto" w:sz="4" w:space="0"/>
              <w:bottom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实验室管理制度</w:t>
            </w:r>
          </w:p>
        </w:tc>
        <w:tc>
          <w:tcPr>
            <w:tcW w:w="1830" w:type="dxa"/>
            <w:gridSpan w:val="7"/>
            <w:tcBorders>
              <w:top w:val="single" w:color="auto" w:sz="4" w:space="0"/>
              <w:bottom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13项</w:t>
            </w:r>
          </w:p>
        </w:tc>
        <w:tc>
          <w:tcPr>
            <w:tcW w:w="1817" w:type="dxa"/>
            <w:gridSpan w:val="8"/>
            <w:tcBorders>
              <w:top w:val="single" w:color="auto" w:sz="4" w:space="0"/>
              <w:bottom w:val="single" w:color="auto" w:sz="4" w:space="0"/>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Cs/>
                <w:szCs w:val="21"/>
              </w:rPr>
              <w:t>是否全部实施</w:t>
            </w:r>
          </w:p>
        </w:tc>
        <w:tc>
          <w:tcPr>
            <w:tcW w:w="1825" w:type="dxa"/>
            <w:gridSpan w:val="7"/>
            <w:tcBorders>
              <w:top w:val="single" w:color="auto" w:sz="4" w:space="0"/>
              <w:bottom w:val="single" w:color="auto" w:sz="4" w:space="0"/>
              <w:tl2br w:val="nil"/>
              <w:tr2bl w:val="nil"/>
            </w:tcBorders>
            <w:vAlign w:val="center"/>
          </w:tcPr>
          <w:p>
            <w:pPr>
              <w:adjustRightInd w:val="0"/>
              <w:snapToGrid w:val="0"/>
              <w:jc w:val="right"/>
              <w:rPr>
                <w:rFonts w:ascii="宋体" w:hAnsi="宋体" w:eastAsia="宋体" w:cs="Times New Roman"/>
                <w:bCs/>
                <w:szCs w:val="21"/>
              </w:rPr>
            </w:pPr>
            <w:r>
              <w:rPr>
                <w:rFonts w:ascii="宋体" w:hAnsi="宋体" w:eastAsia="宋体" w:cs="Times New Roman"/>
                <w:bCs/>
                <w:szCs w:val="21"/>
              </w:rPr>
              <w:t>是</w:t>
            </w:r>
            <w:r>
              <w:rPr>
                <w:rFonts w:ascii="宋体" w:hAnsi="宋体" w:eastAsia="宋体" w:cs="Times New Roman"/>
                <w:bCs/>
                <w:szCs w:val="21"/>
              </w:rPr>
              <w:sym w:font="Wingdings 2" w:char="0052"/>
            </w:r>
            <w:r>
              <w:rPr>
                <w:rFonts w:ascii="宋体" w:hAnsi="宋体" w:eastAsia="宋体" w:cs="Times New Roman"/>
                <w:bCs/>
                <w:szCs w:val="21"/>
              </w:rPr>
              <w:t>否</w:t>
            </w:r>
            <w:r>
              <w:rPr>
                <w:rFonts w:ascii="宋体" w:hAnsi="宋体" w:eastAsia="宋体" w:cs="Times New Roman"/>
                <w:bCs/>
                <w:szCs w:val="21"/>
              </w:rPr>
              <w:sym w:font="Wingdings 2" w:char="00A3"/>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805" w:type="dxa"/>
            <w:gridSpan w:val="5"/>
            <w:tcBorders>
              <w:top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实验室主任聘任制</w:t>
            </w:r>
          </w:p>
        </w:tc>
        <w:tc>
          <w:tcPr>
            <w:tcW w:w="1830" w:type="dxa"/>
            <w:gridSpan w:val="7"/>
            <w:tcBorders>
              <w:top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是</w:t>
            </w:r>
            <w:r>
              <w:rPr>
                <w:rFonts w:ascii="宋体" w:hAnsi="宋体" w:eastAsia="宋体" w:cs="Times New Roman"/>
                <w:bCs/>
                <w:szCs w:val="21"/>
              </w:rPr>
              <w:sym w:font="Wingdings 2" w:char="0052"/>
            </w:r>
            <w:r>
              <w:rPr>
                <w:rFonts w:ascii="Times New Roman" w:hAnsi="Times New Roman" w:eastAsia="宋体" w:cs="Times New Roman"/>
                <w:bCs/>
                <w:szCs w:val="21"/>
              </w:rPr>
              <w:t>否</w:t>
            </w:r>
            <w:r>
              <w:rPr>
                <w:rFonts w:ascii="宋体" w:hAnsi="宋体" w:eastAsia="宋体" w:cs="Times New Roman"/>
                <w:bCs/>
                <w:szCs w:val="21"/>
              </w:rPr>
              <w:t>□</w:t>
            </w:r>
          </w:p>
        </w:tc>
        <w:tc>
          <w:tcPr>
            <w:tcW w:w="1817" w:type="dxa"/>
            <w:gridSpan w:val="8"/>
            <w:tcBorders>
              <w:top w:val="single" w:color="auto" w:sz="4" w:space="0"/>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年度报告</w:t>
            </w:r>
          </w:p>
        </w:tc>
        <w:tc>
          <w:tcPr>
            <w:tcW w:w="1825" w:type="dxa"/>
            <w:gridSpan w:val="7"/>
            <w:tcBorders>
              <w:top w:val="single" w:color="auto" w:sz="4" w:space="0"/>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是</w:t>
            </w:r>
            <w:r>
              <w:rPr>
                <w:rFonts w:ascii="宋体" w:hAnsi="宋体" w:eastAsia="宋体" w:cs="Times New Roman"/>
                <w:bCs/>
                <w:szCs w:val="21"/>
              </w:rPr>
              <w:sym w:font="Wingdings 2" w:char="0052"/>
            </w:r>
            <w:r>
              <w:rPr>
                <w:rFonts w:ascii="Times New Roman" w:hAnsi="Times New Roman" w:eastAsia="宋体" w:cs="Times New Roman"/>
                <w:bCs/>
                <w:szCs w:val="21"/>
              </w:rPr>
              <w:t>否</w:t>
            </w:r>
            <w:r>
              <w:rPr>
                <w:rFonts w:ascii="宋体" w:hAnsi="宋体" w:eastAsia="宋体" w:cs="Times New Roman"/>
                <w:bCs/>
                <w:szCs w:val="21"/>
              </w:rPr>
              <w:t>□</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805" w:type="dxa"/>
            <w:gridSpan w:val="5"/>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组建学术委员会</w:t>
            </w:r>
          </w:p>
        </w:tc>
        <w:tc>
          <w:tcPr>
            <w:tcW w:w="1830"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是</w:t>
            </w:r>
            <w:r>
              <w:rPr>
                <w:rFonts w:ascii="宋体" w:hAnsi="宋体" w:eastAsia="宋体" w:cs="Times New Roman"/>
                <w:bCs/>
                <w:szCs w:val="21"/>
              </w:rPr>
              <w:sym w:font="Wingdings 2" w:char="0052"/>
            </w:r>
            <w:r>
              <w:rPr>
                <w:rFonts w:ascii="Times New Roman" w:hAnsi="Times New Roman" w:eastAsia="宋体" w:cs="Times New Roman"/>
                <w:bCs/>
                <w:szCs w:val="21"/>
              </w:rPr>
              <w:t>否</w:t>
            </w:r>
            <w:r>
              <w:rPr>
                <w:rFonts w:ascii="宋体" w:hAnsi="宋体" w:eastAsia="宋体" w:cs="Times New Roman"/>
                <w:bCs/>
                <w:szCs w:val="21"/>
              </w:rPr>
              <w:t>□</w:t>
            </w:r>
          </w:p>
        </w:tc>
        <w:tc>
          <w:tcPr>
            <w:tcW w:w="1817"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召开会议次数</w:t>
            </w:r>
          </w:p>
        </w:tc>
        <w:tc>
          <w:tcPr>
            <w:tcW w:w="1825"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hint="eastAsia" w:ascii="Times New Roman" w:hAnsi="Times New Roman" w:eastAsia="宋体" w:cs="Times New Roman"/>
                <w:bCs/>
                <w:szCs w:val="21"/>
              </w:rPr>
              <w:t>5</w:t>
            </w:r>
            <w:r>
              <w:rPr>
                <w:rFonts w:ascii="Times New Roman" w:hAnsi="Times New Roman" w:eastAsia="宋体" w:cs="Times New Roman"/>
                <w:bCs/>
                <w:szCs w:val="21"/>
              </w:rPr>
              <w:t>次</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restart"/>
            <w:tcBorders>
              <w:tl2br w:val="nil"/>
              <w:tr2bl w:val="nil"/>
            </w:tcBorders>
            <w:vAlign w:val="center"/>
          </w:tcPr>
          <w:p>
            <w:pPr>
              <w:adjustRightInd w:val="0"/>
              <w:snapToGrid w:val="0"/>
              <w:jc w:val="center"/>
              <w:rPr>
                <w:rFonts w:ascii="宋体" w:hAnsi="宋体" w:eastAsia="宋体" w:cs="Times New Roman"/>
                <w:bCs/>
                <w:szCs w:val="21"/>
              </w:rPr>
            </w:pPr>
            <w:r>
              <w:rPr>
                <w:rFonts w:ascii="宋体" w:hAnsi="宋体" w:eastAsia="宋体" w:cs="Times New Roman"/>
                <w:b/>
                <w:bCs/>
                <w:szCs w:val="21"/>
              </w:rPr>
              <w:t>开放共享</w:t>
            </w:r>
            <w:r>
              <w:rPr>
                <w:rFonts w:ascii="宋体" w:hAnsi="宋体" w:eastAsia="宋体" w:cs="Times New Roman"/>
                <w:bCs/>
                <w:szCs w:val="21"/>
              </w:rPr>
              <w:t>（</w:t>
            </w:r>
            <w:r>
              <w:rPr>
                <w:rFonts w:hint="eastAsia" w:ascii="宋体" w:hAnsi="宋体" w:eastAsia="宋体" w:cs="Times New Roman"/>
                <w:bCs/>
                <w:szCs w:val="21"/>
              </w:rPr>
              <w:t>三</w:t>
            </w:r>
            <w:r>
              <w:rPr>
                <w:rFonts w:ascii="宋体" w:hAnsi="宋体" w:eastAsia="宋体" w:cs="Times New Roman"/>
                <w:bCs/>
                <w:szCs w:val="21"/>
              </w:rPr>
              <w:t>年合计）</w:t>
            </w:r>
          </w:p>
        </w:tc>
        <w:tc>
          <w:tcPr>
            <w:tcW w:w="1805" w:type="dxa"/>
            <w:gridSpan w:val="5"/>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主/承办会议</w:t>
            </w:r>
          </w:p>
        </w:tc>
        <w:tc>
          <w:tcPr>
            <w:tcW w:w="1830" w:type="dxa"/>
            <w:gridSpan w:val="7"/>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国际会议</w:t>
            </w:r>
          </w:p>
        </w:tc>
        <w:tc>
          <w:tcPr>
            <w:tcW w:w="908" w:type="dxa"/>
            <w:gridSpan w:val="2"/>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场</w:t>
            </w:r>
          </w:p>
        </w:tc>
        <w:tc>
          <w:tcPr>
            <w:tcW w:w="1817" w:type="dxa"/>
            <w:gridSpan w:val="12"/>
            <w:tcBorders>
              <w:tl2br w:val="nil"/>
              <w:tr2bl w:val="nil"/>
            </w:tcBorders>
            <w:vAlign w:val="center"/>
          </w:tcPr>
          <w:p>
            <w:pPr>
              <w:adjustRightInd w:val="0"/>
              <w:jc w:val="center"/>
              <w:rPr>
                <w:rFonts w:ascii="Times New Roman" w:hAnsi="Times New Roman" w:eastAsia="宋体" w:cs="Times New Roman"/>
                <w:bCs/>
                <w:szCs w:val="21"/>
              </w:rPr>
            </w:pPr>
            <w:r>
              <w:rPr>
                <w:rFonts w:ascii="Times New Roman" w:hAnsi="Times New Roman" w:eastAsia="宋体" w:cs="Times New Roman"/>
                <w:bCs/>
                <w:szCs w:val="21"/>
              </w:rPr>
              <w:t>国内会议</w:t>
            </w:r>
          </w:p>
          <w:p>
            <w:pPr>
              <w:adjustRightInd w:val="0"/>
              <w:jc w:val="center"/>
              <w:rPr>
                <w:rFonts w:ascii="Times New Roman" w:hAnsi="Times New Roman" w:eastAsia="宋体" w:cs="Times New Roman"/>
                <w:bCs/>
                <w:szCs w:val="21"/>
              </w:rPr>
            </w:pPr>
            <w:r>
              <w:rPr>
                <w:rFonts w:ascii="Times New Roman" w:hAnsi="Times New Roman" w:eastAsia="宋体" w:cs="Times New Roman"/>
                <w:bCs/>
                <w:szCs w:val="21"/>
              </w:rPr>
              <w:t>（100人以上）</w:t>
            </w:r>
          </w:p>
        </w:tc>
        <w:tc>
          <w:tcPr>
            <w:tcW w:w="917" w:type="dxa"/>
            <w:tcBorders>
              <w:tl2br w:val="nil"/>
              <w:tr2bl w:val="nil"/>
            </w:tcBorders>
            <w:vAlign w:val="center"/>
          </w:tcPr>
          <w:p>
            <w:pPr>
              <w:adjustRightInd w:val="0"/>
              <w:jc w:val="right"/>
              <w:rPr>
                <w:rFonts w:ascii="宋体" w:hAnsi="宋体" w:eastAsia="宋体" w:cs="Times New Roman"/>
                <w:bCs/>
                <w:szCs w:val="21"/>
              </w:rPr>
            </w:pPr>
            <w:r>
              <w:rPr>
                <w:rFonts w:hint="eastAsia" w:ascii="宋体" w:hAnsi="宋体" w:eastAsia="宋体" w:cs="Times New Roman"/>
                <w:bCs/>
                <w:szCs w:val="21"/>
              </w:rPr>
              <w:t>场</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
                <w:bCs/>
                <w:szCs w:val="21"/>
              </w:rPr>
            </w:pPr>
          </w:p>
        </w:tc>
        <w:tc>
          <w:tcPr>
            <w:tcW w:w="1805" w:type="dxa"/>
            <w:gridSpan w:val="5"/>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参加国内外会议</w:t>
            </w:r>
          </w:p>
        </w:tc>
        <w:tc>
          <w:tcPr>
            <w:tcW w:w="1830"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w:t>
            </w:r>
            <w:r>
              <w:rPr>
                <w:rFonts w:hint="eastAsia" w:ascii="Times New Roman" w:hAnsi="Times New Roman" w:eastAsia="宋体" w:cs="Times New Roman"/>
                <w:bCs/>
                <w:szCs w:val="21"/>
              </w:rPr>
              <w:t>4</w:t>
            </w:r>
            <w:r>
              <w:rPr>
                <w:rFonts w:ascii="Times New Roman" w:hAnsi="Times New Roman" w:eastAsia="宋体" w:cs="Times New Roman"/>
                <w:bCs/>
                <w:szCs w:val="21"/>
              </w:rPr>
              <w:t>人次</w:t>
            </w:r>
          </w:p>
        </w:tc>
        <w:tc>
          <w:tcPr>
            <w:tcW w:w="1817" w:type="dxa"/>
            <w:gridSpan w:val="8"/>
            <w:tcBorders>
              <w:tl2br w:val="nil"/>
              <w:tr2bl w:val="nil"/>
            </w:tcBorders>
            <w:vAlign w:val="center"/>
          </w:tcPr>
          <w:p>
            <w:pPr>
              <w:adjustRightInd w:val="0"/>
              <w:jc w:val="center"/>
              <w:rPr>
                <w:rFonts w:ascii="Times New Roman" w:hAnsi="Times New Roman" w:eastAsia="宋体" w:cs="Times New Roman"/>
                <w:bCs/>
                <w:szCs w:val="21"/>
              </w:rPr>
            </w:pPr>
            <w:r>
              <w:rPr>
                <w:rFonts w:ascii="Times New Roman" w:hAnsi="Times New Roman" w:eastAsia="宋体" w:cs="Times New Roman"/>
                <w:bCs/>
                <w:szCs w:val="21"/>
              </w:rPr>
              <w:t>做特邀报告</w:t>
            </w:r>
          </w:p>
        </w:tc>
        <w:tc>
          <w:tcPr>
            <w:tcW w:w="1825" w:type="dxa"/>
            <w:gridSpan w:val="7"/>
            <w:tcBorders>
              <w:tl2br w:val="nil"/>
              <w:tr2bl w:val="nil"/>
            </w:tcBorders>
            <w:vAlign w:val="center"/>
          </w:tcPr>
          <w:p>
            <w:pPr>
              <w:adjustRightInd w:val="0"/>
              <w:jc w:val="right"/>
              <w:rPr>
                <w:rFonts w:ascii="Times New Roman" w:hAnsi="Times New Roman" w:eastAsia="宋体" w:cs="Times New Roman"/>
                <w:bCs/>
                <w:szCs w:val="21"/>
              </w:rPr>
            </w:pPr>
            <w:r>
              <w:rPr>
                <w:rFonts w:hint="eastAsia" w:ascii="Times New Roman" w:hAnsi="Times New Roman" w:eastAsia="宋体" w:cs="Times New Roman"/>
                <w:bCs/>
                <w:szCs w:val="21"/>
              </w:rPr>
              <w:t>6</w:t>
            </w:r>
            <w:r>
              <w:rPr>
                <w:rFonts w:ascii="Times New Roman" w:hAnsi="Times New Roman" w:eastAsia="宋体" w:cs="Times New Roman"/>
                <w:bCs/>
                <w:szCs w:val="21"/>
              </w:rPr>
              <w:t>人次</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805" w:type="dxa"/>
            <w:gridSpan w:val="5"/>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开放课题</w:t>
            </w:r>
          </w:p>
        </w:tc>
        <w:tc>
          <w:tcPr>
            <w:tcW w:w="1830"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项</w:t>
            </w:r>
          </w:p>
        </w:tc>
        <w:tc>
          <w:tcPr>
            <w:tcW w:w="1817"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经费合计</w:t>
            </w:r>
          </w:p>
        </w:tc>
        <w:tc>
          <w:tcPr>
            <w:tcW w:w="1825"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805" w:type="dxa"/>
            <w:gridSpan w:val="5"/>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仪器设施对外开放机时</w:t>
            </w:r>
          </w:p>
        </w:tc>
        <w:tc>
          <w:tcPr>
            <w:tcW w:w="1830"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小时</w:t>
            </w:r>
          </w:p>
        </w:tc>
        <w:tc>
          <w:tcPr>
            <w:tcW w:w="1817" w:type="dxa"/>
            <w:gridSpan w:val="8"/>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开展科普活动</w:t>
            </w:r>
          </w:p>
        </w:tc>
        <w:tc>
          <w:tcPr>
            <w:tcW w:w="1825" w:type="dxa"/>
            <w:gridSpan w:val="7"/>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次</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center"/>
              <w:rPr>
                <w:rFonts w:ascii="宋体" w:hAnsi="宋体" w:eastAsia="宋体" w:cs="Times New Roman"/>
                <w:bCs/>
                <w:szCs w:val="21"/>
              </w:rPr>
            </w:pPr>
          </w:p>
        </w:tc>
        <w:tc>
          <w:tcPr>
            <w:tcW w:w="1805" w:type="dxa"/>
            <w:gridSpan w:val="5"/>
            <w:vMerge w:val="restart"/>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合作项目</w:t>
            </w:r>
          </w:p>
        </w:tc>
        <w:tc>
          <w:tcPr>
            <w:tcW w:w="1362" w:type="dxa"/>
            <w:gridSpan w:val="4"/>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国际</w:t>
            </w:r>
          </w:p>
        </w:tc>
        <w:tc>
          <w:tcPr>
            <w:tcW w:w="1376" w:type="dxa"/>
            <w:gridSpan w:val="5"/>
            <w:tcBorders>
              <w:tl2br w:val="nil"/>
              <w:tr2bl w:val="nil"/>
            </w:tcBorders>
            <w:vAlign w:val="center"/>
          </w:tcPr>
          <w:p>
            <w:pPr>
              <w:adjustRightInd w:val="0"/>
              <w:snapToGrid w:val="0"/>
              <w:jc w:val="right"/>
              <w:rPr>
                <w:rFonts w:ascii="Times New Roman" w:hAnsi="Times New Roman" w:eastAsia="宋体" w:cs="Times New Roman"/>
                <w:bCs/>
                <w:szCs w:val="21"/>
              </w:rPr>
            </w:pPr>
            <w:r>
              <w:rPr>
                <w:rFonts w:ascii="Times New Roman" w:hAnsi="Times New Roman" w:eastAsia="宋体" w:cs="Times New Roman"/>
                <w:bCs/>
                <w:szCs w:val="21"/>
              </w:rPr>
              <w:t>1个</w:t>
            </w:r>
          </w:p>
        </w:tc>
        <w:tc>
          <w:tcPr>
            <w:tcW w:w="1362" w:type="dxa"/>
            <w:gridSpan w:val="9"/>
            <w:tcBorders>
              <w:tl2br w:val="nil"/>
              <w:tr2bl w:val="nil"/>
            </w:tcBorders>
            <w:vAlign w:val="center"/>
          </w:tcPr>
          <w:p>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szCs w:val="21"/>
              </w:rPr>
              <w:t>经费支出</w:t>
            </w:r>
          </w:p>
        </w:tc>
        <w:tc>
          <w:tcPr>
            <w:tcW w:w="1372" w:type="dxa"/>
            <w:gridSpan w:val="4"/>
            <w:tcBorders>
              <w:tl2br w:val="nil"/>
              <w:tr2bl w:val="nil"/>
            </w:tcBorders>
            <w:vAlign w:val="center"/>
          </w:tcPr>
          <w:p>
            <w:pPr>
              <w:adjustRightInd w:val="0"/>
              <w:snapToGrid w:val="0"/>
              <w:jc w:val="right"/>
              <w:rPr>
                <w:rFonts w:ascii="宋体" w:hAnsi="宋体" w:eastAsia="宋体" w:cs="Times New Roman"/>
                <w:bCs/>
                <w:szCs w:val="21"/>
              </w:rPr>
            </w:pPr>
            <w:r>
              <w:rPr>
                <w:rFonts w:hint="eastAsia" w:ascii="宋体" w:hAnsi="宋体" w:eastAsia="宋体" w:cs="Times New Roman"/>
                <w:bCs/>
                <w:szCs w:val="21"/>
              </w:rPr>
              <w:t>万元</w:t>
            </w:r>
          </w:p>
        </w:tc>
      </w:tr>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408" w:hRule="atLeast"/>
          <w:jc w:val="center"/>
        </w:trPr>
        <w:tc>
          <w:tcPr>
            <w:tcW w:w="1115" w:type="dxa"/>
            <w:vMerge w:val="continue"/>
            <w:tcBorders>
              <w:tl2br w:val="nil"/>
              <w:tr2bl w:val="nil"/>
            </w:tcBorders>
            <w:vAlign w:val="center"/>
          </w:tcPr>
          <w:p>
            <w:pPr>
              <w:adjustRightInd w:val="0"/>
              <w:snapToGrid w:val="0"/>
              <w:jc w:val="right"/>
              <w:rPr>
                <w:rFonts w:ascii="Calibri" w:hAnsi="Calibri" w:eastAsia="宋体" w:cs="Times New Roman"/>
              </w:rPr>
            </w:pPr>
          </w:p>
        </w:tc>
        <w:tc>
          <w:tcPr>
            <w:tcW w:w="1805" w:type="dxa"/>
            <w:gridSpan w:val="5"/>
            <w:vMerge w:val="continue"/>
            <w:tcBorders>
              <w:tl2br w:val="nil"/>
              <w:tr2bl w:val="nil"/>
            </w:tcBorders>
            <w:vAlign w:val="center"/>
          </w:tcPr>
          <w:p>
            <w:pPr>
              <w:adjustRightInd w:val="0"/>
              <w:snapToGrid w:val="0"/>
              <w:jc w:val="right"/>
              <w:rPr>
                <w:rFonts w:ascii="Calibri" w:hAnsi="Calibri" w:eastAsia="宋体" w:cs="Times New Roman"/>
              </w:rPr>
            </w:pPr>
          </w:p>
        </w:tc>
        <w:tc>
          <w:tcPr>
            <w:tcW w:w="1362" w:type="dxa"/>
            <w:gridSpan w:val="4"/>
            <w:tcBorders>
              <w:tl2br w:val="nil"/>
              <w:tr2bl w:val="nil"/>
            </w:tcBorders>
            <w:vAlign w:val="center"/>
          </w:tcPr>
          <w:p>
            <w:pPr>
              <w:adjustRightInd w:val="0"/>
              <w:snapToGrid w:val="0"/>
              <w:jc w:val="center"/>
              <w:rPr>
                <w:rFonts w:ascii="Calibri" w:hAnsi="Calibri" w:eastAsia="宋体" w:cs="Times New Roman"/>
              </w:rPr>
            </w:pPr>
            <w:r>
              <w:rPr>
                <w:rFonts w:hint="eastAsia" w:ascii="Calibri" w:hAnsi="Calibri" w:eastAsia="宋体" w:cs="Times New Roman"/>
              </w:rPr>
              <w:t>国内</w:t>
            </w:r>
          </w:p>
        </w:tc>
        <w:tc>
          <w:tcPr>
            <w:tcW w:w="1376" w:type="dxa"/>
            <w:gridSpan w:val="5"/>
            <w:tcBorders>
              <w:tl2br w:val="nil"/>
              <w:tr2bl w:val="nil"/>
            </w:tcBorders>
            <w:vAlign w:val="center"/>
          </w:tcPr>
          <w:p>
            <w:pPr>
              <w:adjustRightInd w:val="0"/>
              <w:snapToGrid w:val="0"/>
              <w:jc w:val="right"/>
              <w:rPr>
                <w:rFonts w:ascii="Calibri" w:hAnsi="Calibri" w:eastAsia="宋体" w:cs="Times New Roman"/>
              </w:rPr>
            </w:pPr>
            <w:r>
              <w:rPr>
                <w:rFonts w:hint="eastAsia" w:ascii="Calibri" w:hAnsi="Calibri" w:eastAsia="宋体" w:cs="Times New Roman"/>
              </w:rPr>
              <w:t>个</w:t>
            </w:r>
          </w:p>
        </w:tc>
        <w:tc>
          <w:tcPr>
            <w:tcW w:w="1362" w:type="dxa"/>
            <w:gridSpan w:val="9"/>
            <w:tcBorders>
              <w:tl2br w:val="nil"/>
              <w:tr2bl w:val="nil"/>
            </w:tcBorders>
            <w:vAlign w:val="center"/>
          </w:tcPr>
          <w:p>
            <w:pPr>
              <w:adjustRightInd w:val="0"/>
              <w:snapToGrid w:val="0"/>
              <w:jc w:val="center"/>
              <w:rPr>
                <w:rFonts w:ascii="Calibri" w:hAnsi="Calibri" w:eastAsia="宋体" w:cs="Times New Roman"/>
              </w:rPr>
            </w:pPr>
            <w:r>
              <w:rPr>
                <w:rFonts w:hint="eastAsia" w:ascii="宋体" w:hAnsi="宋体" w:eastAsia="宋体" w:cs="Times New Roman"/>
                <w:bCs/>
                <w:szCs w:val="21"/>
              </w:rPr>
              <w:t>经费支出</w:t>
            </w:r>
          </w:p>
        </w:tc>
        <w:tc>
          <w:tcPr>
            <w:tcW w:w="1372" w:type="dxa"/>
            <w:gridSpan w:val="4"/>
            <w:tcBorders>
              <w:tl2br w:val="nil"/>
              <w:tr2bl w:val="nil"/>
            </w:tcBorders>
            <w:vAlign w:val="center"/>
          </w:tcPr>
          <w:p>
            <w:pPr>
              <w:adjustRightInd w:val="0"/>
              <w:snapToGrid w:val="0"/>
              <w:jc w:val="right"/>
              <w:rPr>
                <w:rFonts w:ascii="Calibri" w:hAnsi="Calibri" w:eastAsia="宋体" w:cs="Times New Roman"/>
              </w:rPr>
            </w:pPr>
            <w:r>
              <w:rPr>
                <w:rFonts w:hint="eastAsia" w:ascii="宋体" w:hAnsi="宋体" w:eastAsia="宋体" w:cs="Times New Roman"/>
                <w:bCs/>
                <w:szCs w:val="21"/>
              </w:rPr>
              <w:t>万元</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二、研发条件和能力</w:t>
      </w:r>
    </w:p>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1.实验室功能定位及发展方向</w:t>
      </w:r>
    </w:p>
    <w:tbl>
      <w:tblPr>
        <w:tblStyle w:val="13"/>
        <w:tblW w:w="8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8" w:type="dxa"/>
          </w:tcPr>
          <w:p>
            <w:pPr>
              <w:rPr>
                <w:rFonts w:ascii="仿宋" w:hAnsi="仿宋" w:eastAsia="仿宋" w:cs="仿宋"/>
                <w:sz w:val="24"/>
                <w:szCs w:val="24"/>
              </w:rPr>
            </w:pPr>
            <w:r>
              <w:rPr>
                <w:rFonts w:hint="eastAsia" w:ascii="仿宋" w:hAnsi="仿宋" w:eastAsia="仿宋" w:cs="仿宋"/>
                <w:sz w:val="24"/>
                <w:szCs w:val="24"/>
              </w:rPr>
              <w:t>（1）简述实验室定位；</w:t>
            </w:r>
          </w:p>
          <w:p>
            <w:pPr>
              <w:spacing w:before="240" w:after="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内蒙古自治区内镜消化疾病重点实验室2016年12月经内蒙古自治区科技厅批准建立，是自治区第一所开展内镜消化道肿瘤相关研究工作的科研平台。实验室</w:t>
            </w:r>
            <w:r>
              <w:rPr>
                <w:rFonts w:hint="eastAsia" w:ascii="Times New Roman" w:hAnsi="Times New Roman" w:eastAsia="仿宋" w:cs="Times New Roman"/>
                <w:sz w:val="24"/>
                <w:szCs w:val="24"/>
              </w:rPr>
              <w:t>主要</w:t>
            </w:r>
            <w:r>
              <w:rPr>
                <w:rFonts w:ascii="Times New Roman" w:hAnsi="Times New Roman" w:eastAsia="仿宋" w:cs="Times New Roman"/>
                <w:sz w:val="24"/>
                <w:szCs w:val="24"/>
              </w:rPr>
              <w:t>研发基于人工智能技术的消化内镜辅助诊断系统</w:t>
            </w:r>
            <w:r>
              <w:rPr>
                <w:rFonts w:hint="eastAsia" w:ascii="Times New Roman" w:hAnsi="Times New Roman" w:eastAsia="仿宋" w:cs="Times New Roman"/>
                <w:sz w:val="24"/>
                <w:szCs w:val="24"/>
              </w:rPr>
              <w:t>，帮助医生精细分析内镜影像，提高肠镜检查质量，促进医疗同质化，最终在临床上提高肠道癌前病变和早癌的检出率，实现早癌早期检出并得到治愈性治疗。</w:t>
            </w:r>
            <w:r>
              <w:rPr>
                <w:rFonts w:ascii="Times New Roman" w:hAnsi="Times New Roman" w:eastAsia="仿宋" w:cs="Times New Roman"/>
                <w:sz w:val="24"/>
                <w:szCs w:val="24"/>
              </w:rPr>
              <w:t>针对我区高发的结直肠癌、食管癌、胃癌等消化道肿瘤，开展其病因及发病机制研究，构建相关疾病病因学基础</w:t>
            </w:r>
            <w:r>
              <w:rPr>
                <w:rFonts w:hint="eastAsia" w:ascii="Times New Roman" w:hAnsi="Times New Roman" w:eastAsia="仿宋" w:cs="Times New Roman"/>
                <w:sz w:val="24"/>
                <w:szCs w:val="24"/>
              </w:rPr>
              <w:t>研究</w:t>
            </w:r>
            <w:r>
              <w:rPr>
                <w:rFonts w:ascii="Times New Roman" w:hAnsi="Times New Roman" w:eastAsia="仿宋" w:cs="Times New Roman"/>
                <w:sz w:val="24"/>
                <w:szCs w:val="24"/>
              </w:rPr>
              <w:t>平台，探索我区消化系肿瘤发生发展的相关规律</w:t>
            </w:r>
            <w:r>
              <w:rPr>
                <w:rFonts w:hint="eastAsia" w:ascii="Times New Roman" w:hAnsi="Times New Roman" w:eastAsia="仿宋" w:cs="Times New Roman"/>
                <w:sz w:val="24"/>
                <w:szCs w:val="24"/>
              </w:rPr>
              <w:t>和机制。</w:t>
            </w:r>
            <w:r>
              <w:rPr>
                <w:rFonts w:ascii="Times New Roman" w:hAnsi="Times New Roman" w:eastAsia="仿宋" w:cs="Times New Roman"/>
                <w:sz w:val="24"/>
                <w:szCs w:val="24"/>
              </w:rPr>
              <w:t>建立国家消化疾病临床研究中心早癌诊治内蒙古协作组、京蒙青年消化内镜医师培训基地，探索内镜消化疾病基础研究和临床应用相关人才的培养方式，努力为自治区输送同时具备基础研究思维，又掌握临床操作能力的消化内镜专业人才。实验室建立和发展对促进我区消化系肿瘤科研项目顺利开展，消化系疾病多学科体系协同发展，基础研究和临床应用人才的培养以及我区整体消化内镜诊疗技术的提高具有重大意义。</w:t>
            </w:r>
          </w:p>
          <w:p>
            <w:pPr>
              <w:rPr>
                <w:rFonts w:ascii="仿宋" w:hAnsi="仿宋" w:eastAsia="仿宋" w:cs="仿宋"/>
                <w:sz w:val="24"/>
                <w:szCs w:val="24"/>
              </w:rPr>
            </w:pPr>
            <w:r>
              <w:rPr>
                <w:rFonts w:hint="eastAsia" w:ascii="仿宋" w:hAnsi="仿宋" w:eastAsia="仿宋" w:cs="仿宋"/>
                <w:sz w:val="24"/>
                <w:szCs w:val="24"/>
              </w:rPr>
              <w:t>（2）简述实验室的主要研究方向以及该研究方向上制约自治区经济社会和产业发展的重大科学问题；</w:t>
            </w:r>
          </w:p>
          <w:p>
            <w:pPr>
              <w:spacing w:before="240"/>
              <w:ind w:firstLine="480" w:firstLineChars="200"/>
              <w:rPr>
                <w:rFonts w:ascii="仿宋" w:hAnsi="仿宋" w:eastAsia="仿宋" w:cs="仿宋"/>
                <w:sz w:val="24"/>
                <w:szCs w:val="24"/>
              </w:rPr>
            </w:pPr>
            <w:r>
              <w:rPr>
                <w:rFonts w:hint="eastAsia" w:ascii="仿宋" w:hAnsi="仿宋" w:eastAsia="仿宋" w:cs="仿宋"/>
                <w:sz w:val="24"/>
                <w:szCs w:val="24"/>
              </w:rPr>
              <w:t>实验室围绕</w:t>
            </w:r>
            <w:r>
              <w:rPr>
                <w:rFonts w:ascii="仿宋" w:hAnsi="仿宋" w:eastAsia="仿宋" w:cs="仿宋"/>
                <w:sz w:val="24"/>
                <w:szCs w:val="24"/>
              </w:rPr>
              <w:t>消化内镜</w:t>
            </w:r>
            <w:r>
              <w:rPr>
                <w:rFonts w:hint="eastAsia" w:ascii="仿宋" w:hAnsi="仿宋" w:eastAsia="仿宋" w:cs="仿宋"/>
                <w:sz w:val="24"/>
                <w:szCs w:val="24"/>
              </w:rPr>
              <w:t>人工智能辅助诊断系统研发、消化系肿瘤发病机理研究、消化疾病研究相关人才培养等研究方向，开展基础和临床应用研究，形成多学科产学研协同发展体系，全面促进我区内镜技术及消化系肿瘤诊治水平的提高。</w:t>
            </w:r>
          </w:p>
          <w:p>
            <w:pPr>
              <w:ind w:firstLine="480" w:firstLineChars="200"/>
              <w:rPr>
                <w:rFonts w:ascii="仿宋" w:hAnsi="仿宋" w:eastAsia="仿宋" w:cs="仿宋"/>
                <w:sz w:val="24"/>
                <w:szCs w:val="24"/>
              </w:rPr>
            </w:pPr>
            <w:r>
              <w:rPr>
                <w:rFonts w:hint="eastAsia" w:ascii="仿宋" w:hAnsi="仿宋" w:eastAsia="仿宋" w:cs="仿宋"/>
                <w:sz w:val="24"/>
                <w:szCs w:val="24"/>
              </w:rPr>
              <w:t>1</w:t>
            </w:r>
            <w:r>
              <w:rPr>
                <w:rFonts w:ascii="仿宋" w:hAnsi="仿宋" w:eastAsia="仿宋" w:cs="仿宋"/>
                <w:sz w:val="24"/>
                <w:szCs w:val="24"/>
              </w:rPr>
              <w:t>. 研发消化内镜人工智能辅助诊断系统</w:t>
            </w:r>
          </w:p>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目前对于结直肠癌肿瘤早筛早诊的方法主要是通过肠镜检查及早发现中高风险息肉，长期监测其变化，做到提早切除。虽然一些血清肿瘤标志物等也可以对肠癌进行预警，但其敏感性和特异性都相对较低，同时内镜检查发现肠癌危险远比各类肿瘤标志物出现变化要早，有助于在腺瘤阶段就对肠癌危险部位进行干预。因此，内镜下对腺瘤性息肉的探查和及早切除是预防肠癌的关键。内镜检查成为结直肠癌早期筛查的最有效手段。然而，由于医生的经验水平和操作差异，内镜设备代次差异，医生的工作强度，病人的肠道准备情况，以及部分息肉本身的隐匿性等各种主客观因素影响，不可避免地存在一定的漏检，导致内镜下结肠息肉检出率下降，严重制约早期内镜治疗的临床效果。目前人工智能技术在医学影像处理领域发展快速。目前，利用人工智能技术处理医学影像，包括CT影像数据和核磁共振影像数据的处理和辅助诊断。此外，在乳腺癌X射线诊断，肺小结节的CT诊断，病理图像的识别等方面，人工智能技术也取得了可媲美人类专家的诊断准确率。因此，基于高质量的肠镜图像和视频，利用人工智能技术，探查包括肠道癌前病变和早癌的肠道异常状态的探查模型，建立同内镜设备相连的微型人工智能平台，能够大幅提高肠道早癌和癌前病变的检出率，实现早癌治愈性治疗。</w:t>
            </w:r>
          </w:p>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结直肠肿瘤是内蒙古地区发病率最高的肿瘤之一，且发病率表现出持续增高趋势；在前期的大肠癌筛查研究中发现，机会性结肠镜筛查</w:t>
            </w:r>
            <w:r>
              <w:rPr>
                <w:rFonts w:hint="eastAsia" w:ascii="Times New Roman" w:hAnsi="Times New Roman" w:eastAsia="仿宋" w:cs="Times New Roman"/>
                <w:sz w:val="24"/>
                <w:szCs w:val="24"/>
              </w:rPr>
              <w:t>我区</w:t>
            </w:r>
            <w:r>
              <w:rPr>
                <w:rFonts w:ascii="Times New Roman" w:hAnsi="Times New Roman" w:eastAsia="仿宋" w:cs="Times New Roman"/>
                <w:sz w:val="24"/>
                <w:szCs w:val="24"/>
              </w:rPr>
              <w:t>近5000例人群样本，蒙古族人群的结直肠腺瘤性息肉发病率要高于汉族人群。因此，提高肠镜下腺瘤性息肉的检出率，</w:t>
            </w:r>
            <w:r>
              <w:rPr>
                <w:rFonts w:hint="eastAsia" w:ascii="Times New Roman" w:hAnsi="Times New Roman" w:eastAsia="仿宋" w:cs="Times New Roman"/>
                <w:sz w:val="24"/>
                <w:szCs w:val="24"/>
              </w:rPr>
              <w:t>能够</w:t>
            </w:r>
            <w:r>
              <w:rPr>
                <w:rFonts w:ascii="Times New Roman" w:hAnsi="Times New Roman" w:eastAsia="仿宋" w:cs="Times New Roman"/>
                <w:sz w:val="24"/>
                <w:szCs w:val="24"/>
              </w:rPr>
              <w:t>实现早期内镜治愈性治疗的临床效果。受地理环境和经济发展因素的影响，</w:t>
            </w:r>
            <w:r>
              <w:rPr>
                <w:rFonts w:hint="eastAsia" w:ascii="Times New Roman" w:hAnsi="Times New Roman" w:eastAsia="仿宋" w:cs="Times New Roman"/>
                <w:sz w:val="24"/>
                <w:szCs w:val="24"/>
              </w:rPr>
              <w:t>我区</w:t>
            </w:r>
            <w:r>
              <w:rPr>
                <w:rFonts w:ascii="Times New Roman" w:hAnsi="Times New Roman" w:eastAsia="仿宋" w:cs="Times New Roman"/>
                <w:sz w:val="24"/>
                <w:szCs w:val="24"/>
              </w:rPr>
              <w:t>消化内镜资源分布不均衡尤为严重，基层医院内镜医生的诊断规范和诊断水平参差不齐。人工智能技术通过海量数据学习，</w:t>
            </w:r>
            <w:r>
              <w:rPr>
                <w:rFonts w:hint="eastAsia" w:ascii="Times New Roman" w:hAnsi="Times New Roman" w:eastAsia="仿宋" w:cs="Times New Roman"/>
                <w:sz w:val="24"/>
                <w:szCs w:val="24"/>
              </w:rPr>
              <w:t>能够</w:t>
            </w:r>
            <w:r>
              <w:rPr>
                <w:rFonts w:ascii="Times New Roman" w:hAnsi="Times New Roman" w:eastAsia="仿宋" w:cs="Times New Roman"/>
                <w:sz w:val="24"/>
                <w:szCs w:val="24"/>
              </w:rPr>
              <w:t>拟合优秀医生的经验，帮助医生精细分析内镜影像，提高肠镜检查质量</w:t>
            </w:r>
            <w:r>
              <w:rPr>
                <w:rFonts w:hint="eastAsia" w:ascii="Times New Roman" w:hAnsi="Times New Roman" w:eastAsia="仿宋" w:cs="Times New Roman"/>
                <w:sz w:val="24"/>
                <w:szCs w:val="24"/>
              </w:rPr>
              <w:t>。另外，</w:t>
            </w:r>
            <w:r>
              <w:rPr>
                <w:rFonts w:ascii="Times New Roman" w:hAnsi="Times New Roman" w:eastAsia="仿宋" w:cs="Times New Roman"/>
                <w:sz w:val="24"/>
                <w:szCs w:val="24"/>
              </w:rPr>
              <w:t>利用计算机移植优秀医生经验，让基层医院获益，</w:t>
            </w:r>
            <w:r>
              <w:rPr>
                <w:rFonts w:hint="eastAsia" w:ascii="Times New Roman" w:hAnsi="Times New Roman" w:eastAsia="仿宋" w:cs="Times New Roman"/>
                <w:sz w:val="24"/>
                <w:szCs w:val="24"/>
              </w:rPr>
              <w:t>可以</w:t>
            </w:r>
            <w:r>
              <w:rPr>
                <w:rFonts w:ascii="Times New Roman" w:hAnsi="Times New Roman" w:eastAsia="仿宋" w:cs="Times New Roman"/>
                <w:sz w:val="24"/>
                <w:szCs w:val="24"/>
              </w:rPr>
              <w:t>促进医疗同质化，最终在临床上提高肠道癌前病变和早癌的检出率，实现早癌早期检出并得到治愈性治疗。</w:t>
            </w:r>
          </w:p>
          <w:p>
            <w:pPr>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2</w:t>
            </w:r>
            <w:r>
              <w:rPr>
                <w:rFonts w:ascii="Times New Roman" w:hAnsi="Times New Roman" w:eastAsia="仿宋" w:cs="Times New Roman"/>
                <w:sz w:val="24"/>
                <w:szCs w:val="24"/>
              </w:rPr>
              <w:t>．常见消化系统肿瘤发病机理研究</w:t>
            </w:r>
          </w:p>
          <w:p>
            <w:pPr>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由于环境污染、遗传以及不良的生活习惯等多种因素的影响，消化道肿瘤发病率越来越高，其病死率在我国癌症中居首位。内蒙古自治区在地理形态上经度跨度大，区域内不同地区的气候、生活和文化习俗、人口学特点以及蒙古族和汉族的融合程度存在很大差异，饮食文化具有明显的地域特征。结直肠肿瘤是内蒙古地区发病率最高的肿瘤之一，且发病率表现出持续增高趋势。实验室前期进行大肠癌筛查及结直肠肿瘤风险评分系统评估研究。目前，实验室主要开展肝癌和胃癌的发病机理研究。研究发现，金属硫蛋白</w:t>
            </w:r>
            <w:r>
              <w:rPr>
                <w:rFonts w:ascii="Times New Roman" w:hAnsi="Times New Roman" w:eastAsia="仿宋" w:cs="Times New Roman"/>
                <w:sz w:val="24"/>
                <w:szCs w:val="24"/>
              </w:rPr>
              <w:t>1G在</w:t>
            </w:r>
            <w:r>
              <w:rPr>
                <w:rFonts w:hint="eastAsia" w:ascii="Times New Roman" w:hAnsi="Times New Roman" w:eastAsia="仿宋" w:cs="Times New Roman"/>
                <w:sz w:val="24"/>
                <w:szCs w:val="24"/>
              </w:rPr>
              <w:t>肝癌发生发展及</w:t>
            </w:r>
            <w:r>
              <w:rPr>
                <w:rFonts w:ascii="Times New Roman" w:hAnsi="Times New Roman" w:eastAsia="仿宋" w:cs="Times New Roman"/>
                <w:sz w:val="24"/>
                <w:szCs w:val="24"/>
              </w:rPr>
              <w:t>临床</w:t>
            </w:r>
            <w:r>
              <w:rPr>
                <w:rFonts w:hint="eastAsia" w:ascii="Times New Roman" w:hAnsi="Times New Roman" w:eastAsia="仿宋" w:cs="Times New Roman"/>
                <w:sz w:val="24"/>
                <w:szCs w:val="24"/>
              </w:rPr>
              <w:t>预后</w:t>
            </w:r>
            <w:r>
              <w:rPr>
                <w:rFonts w:ascii="Times New Roman" w:hAnsi="Times New Roman" w:eastAsia="仿宋" w:cs="Times New Roman"/>
                <w:sz w:val="24"/>
                <w:szCs w:val="24"/>
              </w:rPr>
              <w:t>中的</w:t>
            </w:r>
            <w:r>
              <w:rPr>
                <w:rFonts w:hint="eastAsia" w:ascii="Times New Roman" w:hAnsi="Times New Roman" w:eastAsia="仿宋" w:cs="Times New Roman"/>
                <w:sz w:val="24"/>
                <w:szCs w:val="24"/>
              </w:rPr>
              <w:t>应用</w:t>
            </w:r>
            <w:r>
              <w:rPr>
                <w:rFonts w:ascii="Times New Roman" w:hAnsi="Times New Roman" w:eastAsia="仿宋" w:cs="Times New Roman"/>
                <w:sz w:val="24"/>
                <w:szCs w:val="24"/>
              </w:rPr>
              <w:t>价值，加深对肝癌的表观遗传调控的认识，为改善肝癌的治疗策略提供新思路。</w:t>
            </w:r>
            <w:r>
              <w:rPr>
                <w:rFonts w:hint="eastAsia" w:ascii="Times New Roman" w:hAnsi="Times New Roman" w:eastAsia="仿宋" w:cs="Times New Roman"/>
                <w:sz w:val="24"/>
                <w:szCs w:val="24"/>
              </w:rPr>
              <w:t>雄性激素受体活化在胃癌的发生发展中发挥作用，在临床应用中也具有重要意义。为男性胃癌发病率高的特征寻找新的理论依据，并为胃癌的防治提供新的分子靶标。探究消化系统肿瘤发病机理，</w:t>
            </w:r>
            <w:r>
              <w:rPr>
                <w:rFonts w:ascii="Times New Roman" w:hAnsi="Times New Roman" w:eastAsia="仿宋" w:cs="Times New Roman"/>
                <w:sz w:val="24"/>
                <w:szCs w:val="24"/>
              </w:rPr>
              <w:t>其</w:t>
            </w:r>
            <w:r>
              <w:rPr>
                <w:rFonts w:hint="eastAsia" w:ascii="Times New Roman" w:hAnsi="Times New Roman" w:eastAsia="仿宋" w:cs="Times New Roman"/>
                <w:sz w:val="24"/>
                <w:szCs w:val="24"/>
              </w:rPr>
              <w:t>最终</w:t>
            </w:r>
            <w:r>
              <w:rPr>
                <w:rFonts w:ascii="Times New Roman" w:hAnsi="Times New Roman" w:eastAsia="仿宋" w:cs="Times New Roman"/>
                <w:sz w:val="24"/>
                <w:szCs w:val="24"/>
              </w:rPr>
              <w:t>目的是对</w:t>
            </w:r>
            <w:r>
              <w:rPr>
                <w:rFonts w:hint="eastAsia" w:ascii="Times New Roman" w:hAnsi="Times New Roman" w:eastAsia="仿宋" w:cs="Times New Roman"/>
                <w:sz w:val="24"/>
                <w:szCs w:val="24"/>
              </w:rPr>
              <w:t>恶性肿瘤进</w:t>
            </w:r>
            <w:r>
              <w:rPr>
                <w:rFonts w:ascii="Times New Roman" w:hAnsi="Times New Roman" w:eastAsia="仿宋" w:cs="Times New Roman"/>
                <w:sz w:val="24"/>
                <w:szCs w:val="24"/>
              </w:rPr>
              <w:t>行</w:t>
            </w:r>
            <w:r>
              <w:rPr>
                <w:rFonts w:hint="eastAsia" w:ascii="Times New Roman" w:hAnsi="Times New Roman" w:eastAsia="仿宋" w:cs="Times New Roman"/>
                <w:sz w:val="24"/>
                <w:szCs w:val="24"/>
              </w:rPr>
              <w:t>有</w:t>
            </w:r>
            <w:r>
              <w:rPr>
                <w:rFonts w:ascii="Times New Roman" w:hAnsi="Times New Roman" w:eastAsia="仿宋" w:cs="Times New Roman"/>
                <w:sz w:val="24"/>
                <w:szCs w:val="24"/>
              </w:rPr>
              <w:t>效的防治</w:t>
            </w:r>
            <w:r>
              <w:rPr>
                <w:rFonts w:hint="eastAsia" w:ascii="Times New Roman" w:hAnsi="Times New Roman" w:eastAsia="仿宋" w:cs="Times New Roman"/>
                <w:sz w:val="24"/>
                <w:szCs w:val="24"/>
              </w:rPr>
              <w:t>，指导临床治疗，降低我区及我国消化系统肿瘤发病率。</w:t>
            </w:r>
          </w:p>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3．内镜消化疾病研究相关人才的培养方式研究</w:t>
            </w:r>
          </w:p>
          <w:p>
            <w:pPr>
              <w:spacing w:after="240"/>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通过建立国家消化疾病临床研究中心早癌诊治内蒙古协作组、京蒙青年消化内镜医师培训基地等培训基地，探索内镜消化疾病基础研究和临床应用相关人才的培养方式，努力为自治区输送更多既具备基础研究思维，又掌握临床操作能力的消化内镜相关人才。</w:t>
            </w:r>
            <w:r>
              <w:rPr>
                <w:rFonts w:ascii="Times New Roman" w:hAnsi="Times New Roman" w:eastAsia="仿宋" w:cs="Times New Roman"/>
                <w:sz w:val="24"/>
                <w:szCs w:val="24"/>
              </w:rPr>
              <w:t>目前</w:t>
            </w:r>
            <w:r>
              <w:rPr>
                <w:rFonts w:hint="eastAsia" w:ascii="Times New Roman" w:hAnsi="Times New Roman" w:eastAsia="仿宋" w:cs="Times New Roman"/>
                <w:sz w:val="24"/>
                <w:szCs w:val="24"/>
              </w:rPr>
              <w:t>，</w:t>
            </w:r>
            <w:r>
              <w:rPr>
                <w:rFonts w:ascii="Times New Roman" w:hAnsi="Times New Roman" w:eastAsia="仿宋" w:cs="Times New Roman"/>
                <w:sz w:val="24"/>
                <w:szCs w:val="24"/>
              </w:rPr>
              <w:t>国内少数大型综合医院内镜中心</w:t>
            </w:r>
            <w:r>
              <w:rPr>
                <w:rFonts w:hint="eastAsia" w:ascii="Times New Roman" w:hAnsi="Times New Roman" w:eastAsia="仿宋" w:cs="Times New Roman"/>
                <w:sz w:val="24"/>
                <w:szCs w:val="24"/>
              </w:rPr>
              <w:t>利用最先进的高清内镜设备进行化学、</w:t>
            </w:r>
            <w:r>
              <w:rPr>
                <w:rFonts w:ascii="Times New Roman" w:hAnsi="Times New Roman" w:eastAsia="仿宋" w:cs="Times New Roman"/>
                <w:sz w:val="24"/>
                <w:szCs w:val="24"/>
              </w:rPr>
              <w:t>NBI</w:t>
            </w:r>
            <w:r>
              <w:rPr>
                <w:rFonts w:hint="eastAsia" w:ascii="Times New Roman" w:hAnsi="Times New Roman" w:eastAsia="仿宋" w:cs="Times New Roman"/>
                <w:sz w:val="24"/>
                <w:szCs w:val="24"/>
              </w:rPr>
              <w:t>、</w:t>
            </w:r>
            <w:r>
              <w:rPr>
                <w:rFonts w:ascii="Times New Roman" w:hAnsi="Times New Roman" w:eastAsia="仿宋" w:cs="Times New Roman"/>
                <w:sz w:val="24"/>
                <w:szCs w:val="24"/>
              </w:rPr>
              <w:t>AFI</w:t>
            </w:r>
            <w:r>
              <w:rPr>
                <w:rFonts w:hint="eastAsia" w:ascii="Times New Roman" w:hAnsi="Times New Roman" w:eastAsia="仿宋" w:cs="Times New Roman"/>
                <w:sz w:val="24"/>
                <w:szCs w:val="24"/>
              </w:rPr>
              <w:t>和</w:t>
            </w:r>
            <w:r>
              <w:rPr>
                <w:rFonts w:ascii="Times New Roman" w:hAnsi="Times New Roman" w:eastAsia="仿宋" w:cs="Times New Roman"/>
                <w:sz w:val="24"/>
                <w:szCs w:val="24"/>
              </w:rPr>
              <w:t>ESD</w:t>
            </w:r>
            <w:r>
              <w:rPr>
                <w:rFonts w:hint="eastAsia" w:ascii="Times New Roman" w:hAnsi="Times New Roman" w:eastAsia="仿宋" w:cs="Times New Roman"/>
                <w:sz w:val="24"/>
                <w:szCs w:val="24"/>
              </w:rPr>
              <w:t>，开展</w:t>
            </w:r>
            <w:r>
              <w:rPr>
                <w:rFonts w:ascii="Times New Roman" w:hAnsi="Times New Roman" w:eastAsia="仿宋" w:cs="Times New Roman"/>
                <w:sz w:val="24"/>
                <w:szCs w:val="24"/>
              </w:rPr>
              <w:t>消化道早癌诊断</w:t>
            </w:r>
            <w:r>
              <w:rPr>
                <w:rFonts w:hint="eastAsia" w:ascii="Times New Roman" w:hAnsi="Times New Roman" w:eastAsia="仿宋" w:cs="Times New Roman"/>
                <w:sz w:val="24"/>
                <w:szCs w:val="24"/>
              </w:rPr>
              <w:t>。</w:t>
            </w:r>
            <w:r>
              <w:rPr>
                <w:rFonts w:ascii="Times New Roman" w:hAnsi="Times New Roman" w:eastAsia="仿宋" w:cs="Times New Roman"/>
                <w:sz w:val="24"/>
                <w:szCs w:val="24"/>
              </w:rPr>
              <w:t>根据大样本量内镜数据的表现，总结出地区流行病学特点</w:t>
            </w:r>
            <w:r>
              <w:rPr>
                <w:rFonts w:hint="eastAsia" w:ascii="Times New Roman" w:hAnsi="Times New Roman" w:eastAsia="仿宋" w:cs="Times New Roman"/>
                <w:sz w:val="24"/>
                <w:szCs w:val="24"/>
              </w:rPr>
              <w:t>。我</w:t>
            </w:r>
            <w:r>
              <w:rPr>
                <w:rFonts w:ascii="Times New Roman" w:hAnsi="Times New Roman" w:eastAsia="仿宋" w:cs="Times New Roman"/>
                <w:sz w:val="24"/>
                <w:szCs w:val="24"/>
              </w:rPr>
              <w:t>区内只有我院内镜中心已经独立开展2年余，并且已经举办了京蒙两地及内蒙古地区的内镜医生</w:t>
            </w:r>
            <w:r>
              <w:rPr>
                <w:rFonts w:hint="eastAsia" w:ascii="Times New Roman" w:hAnsi="Times New Roman" w:eastAsia="仿宋" w:cs="Times New Roman"/>
                <w:sz w:val="24"/>
                <w:szCs w:val="24"/>
              </w:rPr>
              <w:t>“</w:t>
            </w:r>
            <w:r>
              <w:rPr>
                <w:rFonts w:ascii="Times New Roman" w:hAnsi="Times New Roman" w:eastAsia="仿宋" w:cs="Times New Roman"/>
                <w:sz w:val="24"/>
                <w:szCs w:val="24"/>
              </w:rPr>
              <w:t>手把手</w:t>
            </w:r>
            <w:r>
              <w:rPr>
                <w:rFonts w:hint="eastAsia" w:ascii="Times New Roman" w:hAnsi="Times New Roman" w:eastAsia="仿宋" w:cs="Times New Roman"/>
                <w:sz w:val="24"/>
                <w:szCs w:val="24"/>
              </w:rPr>
              <w:t>”</w:t>
            </w:r>
            <w:r>
              <w:rPr>
                <w:rFonts w:ascii="Times New Roman" w:hAnsi="Times New Roman" w:eastAsia="仿宋" w:cs="Times New Roman"/>
                <w:sz w:val="24"/>
                <w:szCs w:val="24"/>
              </w:rPr>
              <w:t>培训，开展消化道早癌的诊治技术推广。</w:t>
            </w:r>
            <w:r>
              <w:rPr>
                <w:rFonts w:hint="eastAsia" w:ascii="Times New Roman" w:hAnsi="Times New Roman" w:eastAsia="仿宋" w:cs="Times New Roman"/>
                <w:sz w:val="24"/>
                <w:szCs w:val="24"/>
              </w:rPr>
              <w:t>实验室自获批以后，一直</w:t>
            </w:r>
            <w:r>
              <w:rPr>
                <w:rFonts w:ascii="Times New Roman" w:hAnsi="Times New Roman" w:eastAsia="仿宋" w:cs="Times New Roman"/>
                <w:sz w:val="24"/>
                <w:szCs w:val="24"/>
              </w:rPr>
              <w:t>依托已有的人才培养经验，继续优化内镜消化疾病研究相关人才的培养模式，为自治区输送更多内镜消化疾病研究的基础和临床人才</w:t>
            </w:r>
            <w:r>
              <w:rPr>
                <w:rFonts w:hint="eastAsia" w:ascii="Times New Roman" w:hAnsi="Times New Roman" w:eastAsia="仿宋" w:cs="Times New Roman"/>
                <w:sz w:val="24"/>
                <w:szCs w:val="24"/>
              </w:rPr>
              <w:t>，为提高我区内镜消化领域的学术和临床技术水平做出贡献。</w:t>
            </w:r>
          </w:p>
          <w:p>
            <w:pPr>
              <w:rPr>
                <w:rFonts w:ascii="仿宋" w:hAnsi="仿宋" w:eastAsia="仿宋" w:cs="仿宋"/>
                <w:sz w:val="24"/>
                <w:szCs w:val="24"/>
              </w:rPr>
            </w:pPr>
            <w:r>
              <w:rPr>
                <w:rFonts w:hint="eastAsia" w:ascii="仿宋" w:hAnsi="仿宋" w:eastAsia="仿宋" w:cs="仿宋"/>
                <w:sz w:val="24"/>
                <w:szCs w:val="24"/>
              </w:rPr>
              <w:t>（3）简述实验室的预期目标（包括科研目标、条件建设目标、人才引进和培养目标、合作交流目标等）。</w:t>
            </w:r>
          </w:p>
          <w:p>
            <w:pPr>
              <w:spacing w:before="240" w:after="240"/>
              <w:ind w:firstLine="480" w:firstLineChars="200"/>
              <w:rPr>
                <w:rFonts w:ascii="仿宋" w:hAnsi="仿宋" w:eastAsia="仿宋" w:cs="仿宋"/>
                <w:sz w:val="24"/>
                <w:szCs w:val="24"/>
              </w:rPr>
            </w:pPr>
            <w:r>
              <w:rPr>
                <w:rFonts w:hint="eastAsia" w:ascii="仿宋" w:hAnsi="仿宋" w:eastAsia="仿宋" w:cs="仿宋"/>
                <w:sz w:val="24"/>
                <w:szCs w:val="24"/>
              </w:rPr>
              <w:t>实验室紧紧围绕消化系肿瘤的关键科学问题展开工作，结合内蒙古自治区的省情，以科学研究促进临床医疗水平提高，并带动相关学科发展，强化研究团队建设，大力扶持和培养创新性人才，建立一支消化系肿瘤防治研究的专业队伍，为我省消化系肿瘤防治水平的发展提供技术和理论支撑。</w:t>
            </w:r>
          </w:p>
        </w:tc>
      </w:tr>
    </w:tbl>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2.依托单位投入及科研基础条件</w:t>
      </w:r>
    </w:p>
    <w:tbl>
      <w:tblPr>
        <w:tblStyle w:val="13"/>
        <w:tblW w:w="850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693"/>
        <w:gridCol w:w="2175"/>
        <w:gridCol w:w="452"/>
        <w:gridCol w:w="1418"/>
        <w:gridCol w:w="317"/>
        <w:gridCol w:w="569"/>
        <w:gridCol w:w="1027"/>
        <w:gridCol w:w="117"/>
        <w:gridCol w:w="173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00" w:type="dxa"/>
            <w:gridSpan w:val="9"/>
          </w:tcPr>
          <w:p>
            <w:pPr>
              <w:rPr>
                <w:rFonts w:ascii="仿宋" w:hAnsi="仿宋" w:eastAsia="仿宋" w:cs="仿宋"/>
                <w:sz w:val="24"/>
                <w:szCs w:val="24"/>
              </w:rPr>
            </w:pPr>
            <w:r>
              <w:rPr>
                <w:rFonts w:hint="eastAsia" w:ascii="仿宋" w:hAnsi="仿宋" w:eastAsia="仿宋" w:cs="仿宋"/>
                <w:sz w:val="24"/>
                <w:szCs w:val="24"/>
              </w:rPr>
              <w:t>（1）简要介绍依托单位对实验室的稳定经费投入情况，包括日常运行经费、人才培养与引进经费、仪器设备经费、开放课题经费等；</w:t>
            </w:r>
          </w:p>
          <w:p>
            <w:pPr>
              <w:spacing w:before="240" w:after="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内蒙古自治区人民医院是内蒙古自治区规模最大、综合实力最强的医院，也是少数民族地区最早建立的医院，国家三级甲等医院，是内蒙古自治区医疗、教学、科研的重要基地。内蒙古自治区人民医院为重点打造内镜中心专科平台，协同消化内外科多学科共同发展，配置国际上最先进的内镜诊疗系统及洗消等辅助系统，设备总值3677.17万元。在医院的十四五发展规划中，为确保内镜中心及实验室继续大力稳健发展，在科研经费支持、基础和临床人才引进和设备配置等方面将继续加大资金投入，加强实验室运行和管理，增强医院和我区卫生科研实力。另外，内蒙古自治区人民医院临床医学研究中心为科研人员使用仪器设备提供技术支持和科研服务共享平台。平台现拥有超速离心机、高速冷冻离心机、自动快速蛋白纯化仪、核酸蛋白分析仪、多功能酶标仪、实时荧光定量PCR仪、电化学发光仪、凝胶成像系统、分析和分选流式细胞仪、激光共聚焦显微镜等实验仪器，实行专人专岗责任制管理，提高仪器设备的使用效率，全力满足医院实验室和科研人员在设备配置和服务保障等方面的需求。</w:t>
            </w:r>
          </w:p>
          <w:p>
            <w:pPr>
              <w:rPr>
                <w:rFonts w:ascii="仿宋" w:hAnsi="仿宋" w:eastAsia="仿宋" w:cs="仿宋"/>
                <w:sz w:val="24"/>
                <w:szCs w:val="24"/>
              </w:rPr>
            </w:pPr>
            <w:r>
              <w:rPr>
                <w:rFonts w:hint="eastAsia" w:ascii="仿宋" w:hAnsi="仿宋" w:eastAsia="仿宋" w:cs="仿宋"/>
                <w:sz w:val="24"/>
                <w:szCs w:val="24"/>
              </w:rPr>
              <w:t>（2）简要介绍重要实验设施的建设情况，仪器设备总台数、总价值，特别是原值30万元以上的大型仪器设备数量和价值，所拥有的国际、国内领先的设施仪器名称、价值和功能等。实验室仪器设备研制、改装的设备等情况。</w:t>
            </w:r>
          </w:p>
          <w:p>
            <w:pPr>
              <w:spacing w:before="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为了提升我区科研水平、培养引进科技人才，按照《自治区科技类政府债券资金管理实施方案》规定的资金使用原则和范围，直接拨付99万元用于实验室基础条件建设，用于购买荧光定量PCR仪、离心机、超低温冰箱和红外光谱仪</w:t>
            </w:r>
            <w:r>
              <w:rPr>
                <w:rFonts w:hint="eastAsia" w:ascii="Times New Roman" w:hAnsi="Times New Roman" w:eastAsia="仿宋" w:cs="Times New Roman"/>
                <w:sz w:val="24"/>
                <w:szCs w:val="24"/>
              </w:rPr>
              <w:t>等基础研究仪器</w:t>
            </w:r>
            <w:r>
              <w:rPr>
                <w:rFonts w:ascii="Times New Roman" w:hAnsi="Times New Roman" w:eastAsia="仿宋" w:cs="Times New Roman"/>
                <w:sz w:val="24"/>
                <w:szCs w:val="24"/>
              </w:rPr>
              <w:t>，满足实验室研究人员的</w:t>
            </w:r>
            <w:r>
              <w:rPr>
                <w:rFonts w:hint="eastAsia" w:ascii="Times New Roman" w:hAnsi="Times New Roman" w:eastAsia="仿宋" w:cs="Times New Roman"/>
                <w:sz w:val="24"/>
                <w:szCs w:val="24"/>
              </w:rPr>
              <w:t>常规</w:t>
            </w:r>
            <w:r>
              <w:rPr>
                <w:rFonts w:ascii="Times New Roman" w:hAnsi="Times New Roman" w:eastAsia="仿宋" w:cs="Times New Roman"/>
                <w:sz w:val="24"/>
                <w:szCs w:val="24"/>
              </w:rPr>
              <w:t>研究需要。医院在此过程中，负责管理、监督预算执行情况，协助实验室基础建设。</w:t>
            </w:r>
            <w:r>
              <w:rPr>
                <w:rFonts w:hint="eastAsia" w:ascii="Times New Roman" w:hAnsi="Times New Roman" w:eastAsia="仿宋" w:cs="Times New Roman"/>
                <w:sz w:val="24"/>
                <w:szCs w:val="24"/>
              </w:rPr>
              <w:t>此外，医院为内镜中心配置内镜超声影像系统、电子内窥镜系统、全自动内窥镜清洗消毒等先进的诊疗系统和洗消辅助系统，为诊断系统研发、人才培养提供硬件设施。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74" w:hRule="exact"/>
        </w:trPr>
        <w:tc>
          <w:tcPr>
            <w:tcW w:w="8500" w:type="dxa"/>
            <w:gridSpan w:val="9"/>
            <w:tcBorders>
              <w:top w:val="single" w:color="000000" w:sz="4" w:space="0"/>
            </w:tcBorders>
            <w:vAlign w:val="center"/>
          </w:tcPr>
          <w:p>
            <w:pPr>
              <w:adjustRightInd w:val="0"/>
              <w:snapToGrid w:val="0"/>
              <w:jc w:val="center"/>
              <w:outlineLvl w:val="0"/>
              <w:rPr>
                <w:rFonts w:ascii="宋体" w:hAnsi="宋体" w:eastAsia="宋体" w:cs="Times New Roman"/>
                <w:b/>
                <w:sz w:val="24"/>
                <w:szCs w:val="32"/>
              </w:rPr>
            </w:pPr>
            <w:r>
              <w:rPr>
                <w:rFonts w:ascii="黑体" w:hAnsi="黑体" w:eastAsia="黑体" w:cs="Times New Roman"/>
                <w:sz w:val="24"/>
                <w:szCs w:val="32"/>
              </w:rPr>
              <w:t>表1：重大科研基础设施和大型科研仪器（20</w:t>
            </w:r>
            <w:r>
              <w:rPr>
                <w:rFonts w:hint="eastAsia" w:ascii="黑体" w:hAnsi="黑体" w:eastAsia="黑体" w:cs="Times New Roman"/>
                <w:sz w:val="24"/>
                <w:szCs w:val="32"/>
              </w:rPr>
              <w:t>1</w:t>
            </w:r>
            <w:r>
              <w:rPr>
                <w:rFonts w:ascii="黑体" w:hAnsi="黑体" w:eastAsia="黑体" w:cs="Times New Roman"/>
                <w:sz w:val="24"/>
                <w:szCs w:val="32"/>
              </w:rPr>
              <w:t>8年1</w:t>
            </w:r>
            <w:r>
              <w:rPr>
                <w:rFonts w:hint="eastAsia" w:ascii="黑体" w:hAnsi="黑体" w:eastAsia="黑体" w:cs="Times New Roman"/>
                <w:sz w:val="24"/>
                <w:szCs w:val="32"/>
              </w:rPr>
              <w:t>月</w:t>
            </w:r>
            <w:r>
              <w:rPr>
                <w:rFonts w:ascii="黑体" w:hAnsi="黑体" w:eastAsia="黑体" w:cs="Times New Roman"/>
                <w:sz w:val="24"/>
                <w:szCs w:val="32"/>
              </w:rPr>
              <w:t>—20</w:t>
            </w:r>
            <w:r>
              <w:rPr>
                <w:rFonts w:hint="eastAsia" w:ascii="黑体" w:hAnsi="黑体" w:eastAsia="黑体" w:cs="Times New Roman"/>
                <w:sz w:val="24"/>
                <w:szCs w:val="32"/>
              </w:rPr>
              <w:t>20</w:t>
            </w:r>
            <w:r>
              <w:rPr>
                <w:rFonts w:ascii="黑体" w:hAnsi="黑体" w:eastAsia="黑体" w:cs="Times New Roman"/>
                <w:sz w:val="24"/>
                <w:szCs w:val="32"/>
              </w:rPr>
              <w:t>年12</w:t>
            </w:r>
            <w:r>
              <w:rPr>
                <w:rFonts w:hint="eastAsia" w:ascii="黑体" w:hAnsi="黑体" w:eastAsia="黑体" w:cs="Times New Roman"/>
                <w:sz w:val="24"/>
                <w:szCs w:val="32"/>
              </w:rPr>
              <w:t>月</w:t>
            </w:r>
            <w:r>
              <w:rPr>
                <w:rFonts w:ascii="黑体" w:hAnsi="黑体" w:eastAsia="黑体" w:cs="Times New Roman"/>
                <w:sz w:val="24"/>
                <w:szCs w:val="32"/>
              </w:rPr>
              <w:t>合计）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966" w:hRule="atLeast"/>
        </w:trPr>
        <w:tc>
          <w:tcPr>
            <w:tcW w:w="693"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217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大型仪器、科研设施（30万以上）名称</w:t>
            </w:r>
          </w:p>
        </w:tc>
        <w:tc>
          <w:tcPr>
            <w:tcW w:w="1870"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仪器原值或设施建设投入（万元）</w:t>
            </w:r>
          </w:p>
        </w:tc>
        <w:tc>
          <w:tcPr>
            <w:tcW w:w="886"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使用机时数</w:t>
            </w:r>
            <w:r>
              <w:rPr>
                <w:rFonts w:hint="eastAsia" w:ascii="宋体" w:hAnsi="宋体" w:eastAsia="宋体" w:cs="Times New Roman"/>
                <w:b/>
                <w:sz w:val="24"/>
                <w:szCs w:val="32"/>
              </w:rPr>
              <w:t>*</w:t>
            </w:r>
          </w:p>
        </w:tc>
        <w:tc>
          <w:tcPr>
            <w:tcW w:w="1144"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对外服务机时数</w:t>
            </w:r>
          </w:p>
        </w:tc>
        <w:tc>
          <w:tcPr>
            <w:tcW w:w="1732"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仪器、设施</w:t>
            </w:r>
          </w:p>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主要功能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679" w:hRule="atLeast"/>
        </w:trPr>
        <w:tc>
          <w:tcPr>
            <w:tcW w:w="693" w:type="dxa"/>
            <w:vAlign w:val="center"/>
          </w:tcPr>
          <w:p>
            <w:pPr>
              <w:adjustRightInd w:val="0"/>
              <w:snapToGrid w:val="0"/>
              <w:jc w:val="center"/>
              <w:rPr>
                <w:rFonts w:ascii="宋体" w:hAnsi="宋体" w:eastAsia="宋体" w:cs="Times New Roman"/>
                <w:sz w:val="24"/>
                <w:szCs w:val="32"/>
              </w:rPr>
            </w:pPr>
            <w:r>
              <w:rPr>
                <w:rFonts w:ascii="宋体" w:hAnsi="宋体" w:eastAsia="宋体" w:cs="Times New Roman"/>
                <w:sz w:val="24"/>
                <w:szCs w:val="32"/>
              </w:rPr>
              <w:t>1</w:t>
            </w:r>
          </w:p>
        </w:tc>
        <w:tc>
          <w:tcPr>
            <w:tcW w:w="2175" w:type="dxa"/>
            <w:vAlign w:val="center"/>
          </w:tcPr>
          <w:p>
            <w:pPr>
              <w:tabs>
                <w:tab w:val="left" w:pos="905"/>
              </w:tabs>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荧光定量PCR仪</w:t>
            </w:r>
          </w:p>
        </w:tc>
        <w:tc>
          <w:tcPr>
            <w:tcW w:w="1870" w:type="dxa"/>
            <w:gridSpan w:val="2"/>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57.8</w:t>
            </w:r>
          </w:p>
        </w:tc>
        <w:tc>
          <w:tcPr>
            <w:tcW w:w="886"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无</w:t>
            </w:r>
          </w:p>
        </w:tc>
        <w:tc>
          <w:tcPr>
            <w:tcW w:w="1144"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无</w:t>
            </w:r>
          </w:p>
        </w:tc>
        <w:tc>
          <w:tcPr>
            <w:tcW w:w="1732" w:type="dxa"/>
            <w:vAlign w:val="center"/>
          </w:tcPr>
          <w:p>
            <w:pPr>
              <w:adjustRightInd w:val="0"/>
              <w:snapToGrid w:val="0"/>
              <w:rPr>
                <w:rFonts w:ascii="Times New Roman" w:hAnsi="Times New Roman" w:eastAsia="宋体" w:cs="Times New Roman"/>
                <w:sz w:val="24"/>
                <w:szCs w:val="32"/>
              </w:rPr>
            </w:pPr>
            <w:r>
              <w:rPr>
                <w:rFonts w:ascii="Times New Roman" w:hAnsi="Times New Roman" w:eastAsia="宋体" w:cs="Times New Roman"/>
                <w:sz w:val="24"/>
                <w:szCs w:val="32"/>
              </w:rPr>
              <w:t>用于核酸靶标的灵敏性、特异性检测和定量分析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397" w:hRule="atLeast"/>
        </w:trPr>
        <w:tc>
          <w:tcPr>
            <w:tcW w:w="693" w:type="dxa"/>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2</w:t>
            </w:r>
          </w:p>
        </w:tc>
        <w:tc>
          <w:tcPr>
            <w:tcW w:w="2175" w:type="dxa"/>
            <w:vAlign w:val="center"/>
          </w:tcPr>
          <w:p>
            <w:pPr>
              <w:tabs>
                <w:tab w:val="left" w:pos="905"/>
              </w:tabs>
              <w:adjustRightInd w:val="0"/>
              <w:snapToGrid w:val="0"/>
              <w:jc w:val="center"/>
              <w:rPr>
                <w:rFonts w:ascii="Times New Roman" w:hAnsi="Times New Roman" w:eastAsia="宋体" w:cs="Times New Roman"/>
                <w:sz w:val="24"/>
                <w:szCs w:val="32"/>
                <w:highlight w:val="yellow"/>
              </w:rPr>
            </w:pPr>
            <w:r>
              <w:rPr>
                <w:rFonts w:hint="eastAsia" w:ascii="Times New Roman" w:hAnsi="Times New Roman" w:eastAsia="宋体" w:cs="Times New Roman"/>
                <w:sz w:val="24"/>
                <w:szCs w:val="32"/>
              </w:rPr>
              <w:t>内镜超声影像系统</w:t>
            </w:r>
          </w:p>
        </w:tc>
        <w:tc>
          <w:tcPr>
            <w:tcW w:w="1870"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328.8</w:t>
            </w:r>
          </w:p>
        </w:tc>
        <w:tc>
          <w:tcPr>
            <w:tcW w:w="886"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1600</w:t>
            </w:r>
          </w:p>
        </w:tc>
        <w:tc>
          <w:tcPr>
            <w:tcW w:w="1144"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320</w:t>
            </w:r>
          </w:p>
        </w:tc>
        <w:tc>
          <w:tcPr>
            <w:tcW w:w="1732" w:type="dxa"/>
            <w:vAlign w:val="center"/>
          </w:tcPr>
          <w:p>
            <w:pPr>
              <w:adjustRightInd w:val="0"/>
              <w:snapToGrid w:val="0"/>
              <w:rPr>
                <w:rFonts w:ascii="Times New Roman" w:hAnsi="Times New Roman" w:eastAsia="宋体" w:cs="Times New Roman"/>
                <w:sz w:val="24"/>
                <w:szCs w:val="32"/>
              </w:rPr>
            </w:pPr>
            <w:r>
              <w:rPr>
                <w:rFonts w:hint="eastAsia" w:ascii="Times New Roman" w:hAnsi="Times New Roman" w:eastAsia="宋体" w:cs="Times New Roman"/>
                <w:sz w:val="24"/>
                <w:szCs w:val="32"/>
              </w:rPr>
              <w:t>超声与内镜检查为一体的医疗设备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2496" w:hRule="atLeast"/>
        </w:trPr>
        <w:tc>
          <w:tcPr>
            <w:tcW w:w="693" w:type="dxa"/>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3</w:t>
            </w:r>
          </w:p>
        </w:tc>
        <w:tc>
          <w:tcPr>
            <w:tcW w:w="2175" w:type="dxa"/>
            <w:vAlign w:val="center"/>
          </w:tcPr>
          <w:p>
            <w:pPr>
              <w:tabs>
                <w:tab w:val="left" w:pos="905"/>
              </w:tabs>
              <w:adjustRightInd w:val="0"/>
              <w:snapToGrid w:val="0"/>
              <w:jc w:val="center"/>
              <w:rPr>
                <w:rFonts w:ascii="Times New Roman" w:hAnsi="Times New Roman" w:eastAsia="宋体" w:cs="Times New Roman"/>
                <w:sz w:val="24"/>
                <w:szCs w:val="32"/>
                <w:highlight w:val="yellow"/>
              </w:rPr>
            </w:pPr>
            <w:r>
              <w:rPr>
                <w:rFonts w:hint="eastAsia" w:ascii="Times New Roman" w:hAnsi="Times New Roman" w:eastAsia="宋体" w:cs="Times New Roman"/>
                <w:sz w:val="24"/>
                <w:szCs w:val="32"/>
              </w:rPr>
              <w:t>电子内窥镜系统</w:t>
            </w:r>
          </w:p>
        </w:tc>
        <w:tc>
          <w:tcPr>
            <w:tcW w:w="1870"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633</w:t>
            </w:r>
          </w:p>
        </w:tc>
        <w:tc>
          <w:tcPr>
            <w:tcW w:w="886"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5760</w:t>
            </w:r>
          </w:p>
        </w:tc>
        <w:tc>
          <w:tcPr>
            <w:tcW w:w="1144"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1152</w:t>
            </w:r>
          </w:p>
        </w:tc>
        <w:tc>
          <w:tcPr>
            <w:tcW w:w="1732" w:type="dxa"/>
            <w:vAlign w:val="center"/>
          </w:tcPr>
          <w:p>
            <w:pPr>
              <w:adjustRightInd w:val="0"/>
              <w:snapToGrid w:val="0"/>
              <w:rPr>
                <w:rFonts w:ascii="Times New Roman" w:hAnsi="Times New Roman" w:eastAsia="宋体" w:cs="Times New Roman"/>
                <w:sz w:val="24"/>
                <w:szCs w:val="32"/>
              </w:rPr>
            </w:pPr>
            <w:r>
              <w:rPr>
                <w:rFonts w:hint="eastAsia" w:ascii="Times New Roman" w:hAnsi="Times New Roman" w:eastAsia="宋体" w:cs="Times New Roman"/>
                <w:sz w:val="24"/>
                <w:szCs w:val="32"/>
              </w:rPr>
              <w:t>可插入人体体腔和脏器内腔进行直接观察、诊断和治疗的医用电子光学仪器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506" w:hRule="atLeast"/>
        </w:trPr>
        <w:tc>
          <w:tcPr>
            <w:tcW w:w="693" w:type="dxa"/>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4</w:t>
            </w:r>
          </w:p>
        </w:tc>
        <w:tc>
          <w:tcPr>
            <w:tcW w:w="2175" w:type="dxa"/>
            <w:vAlign w:val="center"/>
          </w:tcPr>
          <w:p>
            <w:pPr>
              <w:tabs>
                <w:tab w:val="left" w:pos="905"/>
              </w:tabs>
              <w:adjustRightInd w:val="0"/>
              <w:snapToGrid w:val="0"/>
              <w:jc w:val="center"/>
              <w:rPr>
                <w:rFonts w:ascii="Times New Roman" w:hAnsi="Times New Roman" w:eastAsia="宋体" w:cs="Times New Roman"/>
                <w:sz w:val="24"/>
                <w:szCs w:val="32"/>
                <w:highlight w:val="yellow"/>
              </w:rPr>
            </w:pPr>
            <w:r>
              <w:rPr>
                <w:rFonts w:hint="eastAsia" w:ascii="Times New Roman" w:hAnsi="Times New Roman" w:eastAsia="宋体" w:cs="Times New Roman"/>
                <w:sz w:val="24"/>
                <w:szCs w:val="32"/>
              </w:rPr>
              <w:t>全自动内窥镜清洗消毒</w:t>
            </w:r>
          </w:p>
        </w:tc>
        <w:tc>
          <w:tcPr>
            <w:tcW w:w="1870"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149.6</w:t>
            </w:r>
          </w:p>
        </w:tc>
        <w:tc>
          <w:tcPr>
            <w:tcW w:w="886"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2080</w:t>
            </w:r>
          </w:p>
        </w:tc>
        <w:tc>
          <w:tcPr>
            <w:tcW w:w="1144" w:type="dxa"/>
            <w:gridSpan w:val="2"/>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416</w:t>
            </w:r>
          </w:p>
        </w:tc>
        <w:tc>
          <w:tcPr>
            <w:tcW w:w="1732" w:type="dxa"/>
            <w:vAlign w:val="center"/>
          </w:tcPr>
          <w:p>
            <w:pPr>
              <w:adjustRightInd w:val="0"/>
              <w:snapToGrid w:val="0"/>
              <w:rPr>
                <w:rFonts w:ascii="Times New Roman" w:hAnsi="Times New Roman" w:eastAsia="宋体" w:cs="Times New Roman"/>
                <w:sz w:val="24"/>
                <w:szCs w:val="32"/>
              </w:rPr>
            </w:pPr>
            <w:r>
              <w:rPr>
                <w:rFonts w:hint="eastAsia" w:ascii="Times New Roman" w:hAnsi="Times New Roman" w:eastAsia="宋体" w:cs="Times New Roman"/>
                <w:sz w:val="24"/>
                <w:szCs w:val="32"/>
              </w:rPr>
              <w:t>内窥镜清洗消毒设备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129" w:hRule="exact"/>
        </w:trPr>
        <w:tc>
          <w:tcPr>
            <w:tcW w:w="8500" w:type="dxa"/>
            <w:gridSpan w:val="9"/>
            <w:vAlign w:val="center"/>
          </w:tcPr>
          <w:p>
            <w:pPr>
              <w:adjustRightInd w:val="0"/>
              <w:snapToGrid w:val="0"/>
              <w:jc w:val="center"/>
              <w:outlineLvl w:val="0"/>
              <w:rPr>
                <w:rFonts w:ascii="宋体" w:hAnsi="宋体" w:eastAsia="宋体" w:cs="Times New Roman"/>
                <w:b/>
                <w:kern w:val="0"/>
                <w:sz w:val="24"/>
                <w:szCs w:val="21"/>
              </w:rPr>
            </w:pPr>
            <w:r>
              <w:rPr>
                <w:rFonts w:ascii="黑体" w:hAnsi="黑体" w:eastAsia="黑体" w:cs="Times New Roman"/>
                <w:sz w:val="24"/>
                <w:szCs w:val="32"/>
              </w:rPr>
              <w:t>表</w:t>
            </w:r>
            <w:r>
              <w:rPr>
                <w:rFonts w:hint="eastAsia" w:ascii="黑体" w:hAnsi="黑体" w:eastAsia="黑体" w:cs="Times New Roman"/>
                <w:sz w:val="24"/>
                <w:szCs w:val="32"/>
              </w:rPr>
              <w:t>2</w:t>
            </w:r>
            <w:r>
              <w:rPr>
                <w:rFonts w:ascii="黑体" w:hAnsi="黑体" w:eastAsia="黑体" w:cs="Times New Roman"/>
                <w:sz w:val="24"/>
                <w:szCs w:val="32"/>
              </w:rPr>
              <w:t>：实验室仪器设备研制、改装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820" w:hRule="atLeast"/>
        </w:trPr>
        <w:tc>
          <w:tcPr>
            <w:tcW w:w="693"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2627"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类别</w:t>
            </w:r>
          </w:p>
        </w:tc>
        <w:tc>
          <w:tcPr>
            <w:tcW w:w="1735"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仪器名称</w:t>
            </w:r>
          </w:p>
        </w:tc>
        <w:tc>
          <w:tcPr>
            <w:tcW w:w="1596"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研制人员</w:t>
            </w:r>
          </w:p>
        </w:tc>
        <w:tc>
          <w:tcPr>
            <w:tcW w:w="1849"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开发功能和用途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1480" w:hRule="atLeast"/>
        </w:trPr>
        <w:tc>
          <w:tcPr>
            <w:tcW w:w="693" w:type="dxa"/>
            <w:vAlign w:val="center"/>
          </w:tcPr>
          <w:p>
            <w:pPr>
              <w:adjustRightInd w:val="0"/>
              <w:snapToGrid w:val="0"/>
              <w:jc w:val="center"/>
              <w:rPr>
                <w:rFonts w:ascii="宋体" w:hAnsi="宋体" w:eastAsia="宋体" w:cs="Times New Roman"/>
                <w:sz w:val="24"/>
                <w:szCs w:val="32"/>
              </w:rPr>
            </w:pPr>
            <w:r>
              <w:rPr>
                <w:rFonts w:ascii="宋体" w:hAnsi="宋体" w:eastAsia="宋体" w:cs="Times New Roman"/>
                <w:sz w:val="24"/>
                <w:szCs w:val="32"/>
              </w:rPr>
              <w:t>1</w:t>
            </w:r>
          </w:p>
        </w:tc>
        <w:tc>
          <w:tcPr>
            <w:tcW w:w="2627" w:type="dxa"/>
            <w:gridSpan w:val="2"/>
            <w:vAlign w:val="center"/>
          </w:tcPr>
          <w:p>
            <w:pPr>
              <w:widowControl/>
              <w:adjustRightInd w:val="0"/>
              <w:snapToGrid w:val="0"/>
              <w:spacing w:line="353" w:lineRule="auto"/>
              <w:jc w:val="center"/>
              <w:rPr>
                <w:rFonts w:ascii="宋体" w:hAnsi="宋体" w:eastAsia="宋体" w:cs="Times New Roman"/>
                <w:sz w:val="24"/>
                <w:szCs w:val="32"/>
              </w:rPr>
            </w:pPr>
            <w:r>
              <w:rPr>
                <w:rFonts w:hint="eastAsia" w:ascii="宋体" w:hAnsi="宋体" w:eastAsia="宋体" w:cs="Times New Roman"/>
                <w:sz w:val="24"/>
                <w:szCs w:val="32"/>
              </w:rPr>
              <w:t>无</w:t>
            </w:r>
          </w:p>
        </w:tc>
        <w:tc>
          <w:tcPr>
            <w:tcW w:w="1735" w:type="dxa"/>
            <w:gridSpan w:val="2"/>
            <w:vAlign w:val="center"/>
          </w:tcPr>
          <w:p>
            <w:pPr>
              <w:widowControl/>
              <w:adjustRightInd w:val="0"/>
              <w:snapToGrid w:val="0"/>
              <w:spacing w:line="353" w:lineRule="auto"/>
              <w:jc w:val="center"/>
              <w:rPr>
                <w:rFonts w:ascii="宋体" w:hAnsi="宋体" w:eastAsia="宋体" w:cs="Times New Roman"/>
                <w:b/>
                <w:sz w:val="24"/>
                <w:szCs w:val="32"/>
              </w:rPr>
            </w:pPr>
          </w:p>
        </w:tc>
        <w:tc>
          <w:tcPr>
            <w:tcW w:w="1596" w:type="dxa"/>
            <w:gridSpan w:val="2"/>
            <w:vAlign w:val="center"/>
          </w:tcPr>
          <w:p>
            <w:pPr>
              <w:widowControl/>
              <w:adjustRightInd w:val="0"/>
              <w:snapToGrid w:val="0"/>
              <w:spacing w:line="353" w:lineRule="auto"/>
              <w:jc w:val="center"/>
              <w:rPr>
                <w:rFonts w:ascii="宋体" w:hAnsi="宋体" w:eastAsia="宋体" w:cs="Times New Roman"/>
                <w:b/>
                <w:sz w:val="24"/>
                <w:szCs w:val="32"/>
              </w:rPr>
            </w:pPr>
          </w:p>
        </w:tc>
        <w:tc>
          <w:tcPr>
            <w:tcW w:w="1849" w:type="dxa"/>
            <w:gridSpan w:val="2"/>
            <w:vAlign w:val="center"/>
          </w:tcPr>
          <w:p>
            <w:pPr>
              <w:widowControl/>
              <w:adjustRightInd w:val="0"/>
              <w:snapToGrid w:val="0"/>
              <w:spacing w:line="353" w:lineRule="auto"/>
              <w:jc w:val="center"/>
              <w:rPr>
                <w:rFonts w:ascii="宋体" w:hAnsi="宋体" w:eastAsia="宋体" w:cs="Times New Roman"/>
                <w:b/>
                <w:sz w:val="24"/>
                <w:szCs w:val="32"/>
              </w:rPr>
            </w:pPr>
          </w:p>
        </w:tc>
      </w:tr>
    </w:tbl>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3.承担科研任务</w:t>
      </w:r>
    </w:p>
    <w:tbl>
      <w:tblPr>
        <w:tblStyle w:val="13"/>
        <w:tblW w:w="8527" w:type="dxa"/>
        <w:tblInd w:w="0" w:type="dxa"/>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678"/>
        <w:gridCol w:w="2281"/>
        <w:gridCol w:w="1011"/>
        <w:gridCol w:w="1011"/>
        <w:gridCol w:w="767"/>
        <w:gridCol w:w="769"/>
        <w:gridCol w:w="1025"/>
        <w:gridCol w:w="985"/>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3201" w:hRule="atLeast"/>
        </w:trPr>
        <w:tc>
          <w:tcPr>
            <w:tcW w:w="8527" w:type="dxa"/>
            <w:gridSpan w:val="8"/>
            <w:tcBorders>
              <w:tl2br w:val="nil"/>
              <w:tr2bl w:val="nil"/>
            </w:tcBorders>
            <w:vAlign w:val="center"/>
          </w:tcPr>
          <w:p>
            <w:pPr>
              <w:ind w:firstLine="480" w:firstLineChars="200"/>
              <w:rPr>
                <w:rFonts w:ascii="仿宋" w:hAnsi="仿宋" w:eastAsia="仿宋" w:cs="仿宋"/>
                <w:sz w:val="24"/>
                <w:szCs w:val="24"/>
              </w:rPr>
            </w:pPr>
            <w:r>
              <w:rPr>
                <w:rFonts w:hint="eastAsia" w:ascii="仿宋" w:hAnsi="仿宋" w:eastAsia="仿宋" w:cs="仿宋"/>
                <w:sz w:val="24"/>
                <w:szCs w:val="24"/>
              </w:rPr>
              <w:t>围绕实验室主要研究方向简要描述实验室承担（参与）国家科技计划项目（课题）、承担其他国家重大任务（重大工程建设）、其他省部级科研任务和自治区重大科技项目（课题）的情况、所取得的重要成果以及所发挥的作用与贡献等。</w:t>
            </w:r>
          </w:p>
          <w:p>
            <w:pPr>
              <w:adjustRightInd w:val="0"/>
              <w:snapToGrid w:val="0"/>
              <w:spacing w:before="24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围绕消化内镜人工智能辅助诊断系统研发，实验室承担国家自然科学基金项目“基于深度神经网络的胃癌癌前病变内镜图像诊断模型的建立及应用研究”，内蒙古自治区科技计划项目“基于人工智能技术的下消化道内镜实时辅诊系统研发”。</w:t>
            </w:r>
          </w:p>
          <w:p>
            <w:pPr>
              <w:adjustRightInd w:val="0"/>
              <w:snapToGrid w:val="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⑴</w:t>
            </w:r>
            <w:r>
              <w:rPr>
                <w:rFonts w:ascii="Times New Roman" w:hAnsi="Times New Roman" w:eastAsia="仿宋" w:cs="Times New Roman"/>
                <w:sz w:val="24"/>
                <w:szCs w:val="24"/>
              </w:rPr>
              <w:t xml:space="preserve"> 国家自然科学基金项目</w:t>
            </w:r>
            <w:r>
              <w:rPr>
                <w:rFonts w:hint="eastAsia" w:ascii="Times New Roman" w:hAnsi="Times New Roman" w:eastAsia="仿宋" w:cs="Times New Roman"/>
                <w:sz w:val="24"/>
                <w:szCs w:val="24"/>
              </w:rPr>
              <w:t>“</w:t>
            </w:r>
            <w:r>
              <w:rPr>
                <w:rFonts w:ascii="Times New Roman" w:hAnsi="Times New Roman" w:eastAsia="仿宋" w:cs="Times New Roman"/>
                <w:sz w:val="24"/>
                <w:szCs w:val="24"/>
              </w:rPr>
              <w:t>基于深度神经网络的胃癌癌前病变内镜图像诊断模型的建立及应用研究</w:t>
            </w:r>
            <w:r>
              <w:rPr>
                <w:rFonts w:hint="eastAsia" w:ascii="Times New Roman" w:hAnsi="Times New Roman" w:eastAsia="仿宋" w:cs="Times New Roman"/>
                <w:sz w:val="24"/>
                <w:szCs w:val="24"/>
              </w:rPr>
              <w:t>”</w:t>
            </w:r>
          </w:p>
          <w:p>
            <w:pPr>
              <w:adjustRightInd w:val="0"/>
              <w:snapToGrid w:val="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本项目通过一线内镜医生与人工智能专家的深入合作，采用深度神经网络算法，对规范化采集的高质量内镜图像进行机器学习，建立能够识别萎缩性胃炎等癌前病变乃至早期胃癌的人工智能诊断模型，并进一步在临床中对模型算法进行验证和优化。该模型的建立可以有效地提高早癌筛查和诊断的准确率，有助于实现医疗同质化，提高欠发达地区的胃癌早期发现率。</w:t>
            </w:r>
          </w:p>
          <w:p>
            <w:pPr>
              <w:adjustRightInd w:val="0"/>
              <w:snapToGrid w:val="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⑵</w:t>
            </w:r>
            <w:r>
              <w:rPr>
                <w:rFonts w:ascii="Times New Roman" w:hAnsi="Times New Roman" w:eastAsia="仿宋" w:cs="Times New Roman"/>
                <w:sz w:val="24"/>
                <w:szCs w:val="24"/>
              </w:rPr>
              <w:t xml:space="preserve"> 内蒙古自治区科技计划项目</w:t>
            </w:r>
            <w:r>
              <w:rPr>
                <w:rFonts w:hint="eastAsia" w:ascii="Times New Roman" w:hAnsi="Times New Roman" w:eastAsia="仿宋" w:cs="Times New Roman"/>
                <w:sz w:val="24"/>
                <w:szCs w:val="24"/>
              </w:rPr>
              <w:t>“</w:t>
            </w:r>
            <w:r>
              <w:rPr>
                <w:rFonts w:ascii="Times New Roman" w:hAnsi="Times New Roman" w:eastAsia="仿宋" w:cs="Times New Roman"/>
                <w:sz w:val="24"/>
                <w:szCs w:val="24"/>
              </w:rPr>
              <w:t>基于人工智能技术的下消化道内镜实时辅诊系统研发</w:t>
            </w:r>
            <w:r>
              <w:rPr>
                <w:rFonts w:hint="eastAsia" w:ascii="Times New Roman" w:hAnsi="Times New Roman" w:eastAsia="仿宋" w:cs="Times New Roman"/>
                <w:sz w:val="24"/>
                <w:szCs w:val="24"/>
              </w:rPr>
              <w:t>”</w:t>
            </w:r>
          </w:p>
          <w:p>
            <w:pPr>
              <w:adjustRightInd w:val="0"/>
              <w:snapToGrid w:val="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本项目首先建立下消化道内窥镜影像标准数据集。基于高质量数据集，利用人工智能技术，建立起探查包括肠道癌前病变和早癌的肠道异常状态的探查模型，并对探查出来的异常病灶从影像学角度进行分类诊断。同时，通过分析数据集中的操作视频，可以对肠镜操作过程的质量进行评估，主要包括利用计算机计算肠镜手术的退镜速度，肠道清洁度，以及检查肠镜检查中是否存在盲区。进一步通过临床反馈对模型进行优化调整，使模型更加智能化、筛查准确率更高。把早癌诊断模型部署到内镜硬件的辅助软件中，搭载有人工智能辅助诊断模型的硬件设备，能够帮助医生精细分析内镜影像，提高肠镜检查质量。另一方面利用计算机移植优秀医生经验，让基层医院获益，促进医疗同质化，最终在临床上提高肠道癌前病变和早癌的检出率，实现早癌早期检出并得到治愈性治疗。</w:t>
            </w:r>
          </w:p>
          <w:p>
            <w:pPr>
              <w:adjustRightInd w:val="0"/>
              <w:snapToGrid w:val="0"/>
              <w:ind w:firstLine="480" w:firstLineChars="200"/>
              <w:outlineLvl w:val="0"/>
              <w:rPr>
                <w:rFonts w:ascii="Times New Roman" w:hAnsi="Times New Roman" w:eastAsia="仿宋" w:cs="Times New Roman"/>
                <w:sz w:val="24"/>
                <w:szCs w:val="24"/>
              </w:rPr>
            </w:pPr>
            <w:r>
              <w:rPr>
                <w:rFonts w:hint="eastAsia" w:ascii="Times New Roman" w:hAnsi="Times New Roman" w:eastAsia="仿宋" w:cs="Times New Roman"/>
                <w:sz w:val="24"/>
                <w:szCs w:val="24"/>
              </w:rPr>
              <w:t>围绕着常见消化系统肿瘤发病机理研究，实验室承担内蒙古自治区自然科学基金面上项目“金属硫蛋白</w:t>
            </w:r>
            <w:r>
              <w:rPr>
                <w:rFonts w:ascii="Times New Roman" w:hAnsi="Times New Roman" w:eastAsia="仿宋" w:cs="Times New Roman"/>
                <w:sz w:val="24"/>
                <w:szCs w:val="24"/>
              </w:rPr>
              <w:t>1G在肝细胞癌中功能、机制及临床应用研究</w:t>
            </w:r>
            <w:r>
              <w:rPr>
                <w:rFonts w:hint="eastAsia" w:ascii="Times New Roman" w:hAnsi="Times New Roman" w:eastAsia="仿宋" w:cs="Times New Roman"/>
                <w:sz w:val="24"/>
                <w:szCs w:val="24"/>
              </w:rPr>
              <w:t>”</w:t>
            </w:r>
            <w:r>
              <w:rPr>
                <w:rFonts w:ascii="Times New Roman" w:hAnsi="Times New Roman" w:eastAsia="仿宋" w:cs="Times New Roman"/>
                <w:sz w:val="24"/>
                <w:szCs w:val="24"/>
              </w:rPr>
              <w:t>。此项目进行shRNA敲低金属硫蛋白1G表达、裸鼠成瘤实验，增殖和上皮间质转化关键基因表达检测，获取TCGA数据信息进行Kaplan-Meier生存曲线分析等研究。研究发现，金属硫蛋白1G在肝细胞癌组织和细胞中高甲基化，且与mRNA表达水平负相关。过表达MT1G抑制肝癌细胞增殖、迁移和侵袭，且抑制裸鼠体内肿瘤形成；低表达MT1G促进肝癌细胞增殖、迁移和侵袭，且促进肿</w:t>
            </w:r>
            <w:r>
              <w:rPr>
                <w:rFonts w:hint="eastAsia" w:ascii="Times New Roman" w:hAnsi="Times New Roman" w:eastAsia="仿宋" w:cs="Times New Roman"/>
                <w:sz w:val="24"/>
                <w:szCs w:val="24"/>
              </w:rPr>
              <w:t>瘤形成。</w:t>
            </w:r>
            <w:r>
              <w:rPr>
                <w:rFonts w:ascii="Times New Roman" w:hAnsi="Times New Roman" w:eastAsia="仿宋" w:cs="Times New Roman"/>
                <w:sz w:val="24"/>
                <w:szCs w:val="24"/>
              </w:rPr>
              <w:t>MT1G抑制肝癌细胞增殖、迁移和侵袭主要通过参与上皮间质转化过程来实现。TCGA数据分析发现，MT1G作为肿瘤抑制基因在肝细胞癌发展中起到关键作用，其高甲基化与肝细胞癌患者良好预后有关。本项目探索金属硫蛋白1G在临床应用中的价值，加深对肝癌的表观遗传调控的认识，为改善肝癌的治疗策略提供新思路。</w:t>
            </w:r>
          </w:p>
          <w:p>
            <w:pPr>
              <w:adjustRightInd w:val="0"/>
              <w:snapToGrid w:val="0"/>
              <w:outlineLvl w:val="0"/>
              <w:rPr>
                <w:rFonts w:ascii="Times New Roman" w:hAnsi="Times New Roman" w:eastAsia="仿宋"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trPr>
        <w:tc>
          <w:tcPr>
            <w:tcW w:w="8527" w:type="dxa"/>
            <w:gridSpan w:val="8"/>
            <w:tcBorders>
              <w:tl2br w:val="nil"/>
              <w:tr2bl w:val="nil"/>
            </w:tcBorders>
            <w:vAlign w:val="center"/>
          </w:tcPr>
          <w:p>
            <w:pPr>
              <w:adjustRightInd w:val="0"/>
              <w:snapToGrid w:val="0"/>
              <w:jc w:val="center"/>
              <w:outlineLvl w:val="0"/>
              <w:rPr>
                <w:rFonts w:ascii="黑体" w:hAnsi="黑体" w:eastAsia="黑体" w:cs="Times New Roman"/>
                <w:b/>
                <w:sz w:val="32"/>
                <w:szCs w:val="32"/>
              </w:rPr>
            </w:pPr>
            <w:r>
              <w:rPr>
                <w:rFonts w:ascii="黑体" w:hAnsi="黑体" w:eastAsia="黑体" w:cs="Times New Roman"/>
                <w:sz w:val="24"/>
                <w:szCs w:val="32"/>
              </w:rPr>
              <w:t>表</w:t>
            </w:r>
            <w:r>
              <w:rPr>
                <w:rFonts w:hint="eastAsia" w:ascii="黑体" w:hAnsi="黑体" w:eastAsia="黑体" w:cs="Times New Roman"/>
                <w:sz w:val="24"/>
                <w:szCs w:val="32"/>
              </w:rPr>
              <w:t>3</w:t>
            </w:r>
            <w:r>
              <w:rPr>
                <w:rFonts w:ascii="黑体" w:hAnsi="黑体" w:eastAsia="黑体" w:cs="Times New Roman"/>
                <w:sz w:val="24"/>
                <w:szCs w:val="32"/>
              </w:rPr>
              <w:t>：实验室承担的研究</w:t>
            </w:r>
            <w:r>
              <w:rPr>
                <w:rFonts w:hint="eastAsia" w:ascii="黑体" w:hAnsi="黑体" w:eastAsia="黑体" w:cs="Times New Roman"/>
                <w:sz w:val="24"/>
                <w:szCs w:val="32"/>
              </w:rPr>
              <w:t>项目（</w:t>
            </w:r>
            <w:r>
              <w:rPr>
                <w:rFonts w:ascii="黑体" w:hAnsi="黑体" w:eastAsia="黑体" w:cs="Times New Roman"/>
                <w:sz w:val="24"/>
                <w:szCs w:val="32"/>
              </w:rPr>
              <w:t>课题</w:t>
            </w:r>
            <w:r>
              <w:rPr>
                <w:rFonts w:hint="eastAsia" w:ascii="黑体" w:hAnsi="黑体" w:eastAsia="黑体" w:cs="Times New Roman"/>
                <w:sz w:val="24"/>
                <w:szCs w:val="32"/>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trPr>
        <w:tc>
          <w:tcPr>
            <w:tcW w:w="678"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2281"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课题名称</w:t>
            </w:r>
          </w:p>
        </w:tc>
        <w:tc>
          <w:tcPr>
            <w:tcW w:w="1011"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编号</w:t>
            </w:r>
          </w:p>
        </w:tc>
        <w:tc>
          <w:tcPr>
            <w:tcW w:w="1011"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主持人</w:t>
            </w:r>
          </w:p>
        </w:tc>
        <w:tc>
          <w:tcPr>
            <w:tcW w:w="767"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起止时间</w:t>
            </w:r>
          </w:p>
        </w:tc>
        <w:tc>
          <w:tcPr>
            <w:tcW w:w="769"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类别</w:t>
            </w:r>
          </w:p>
        </w:tc>
        <w:tc>
          <w:tcPr>
            <w:tcW w:w="1025"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经费</w:t>
            </w:r>
          </w:p>
          <w:p>
            <w:pPr>
              <w:adjustRightInd w:val="0"/>
              <w:snapToGrid w:val="0"/>
              <w:rPr>
                <w:rFonts w:ascii="宋体" w:hAnsi="宋体" w:eastAsia="宋体" w:cs="Times New Roman"/>
                <w:b/>
                <w:sz w:val="24"/>
                <w:szCs w:val="32"/>
              </w:rPr>
            </w:pPr>
            <w:r>
              <w:rPr>
                <w:rFonts w:ascii="宋体" w:hAnsi="宋体" w:eastAsia="宋体" w:cs="Times New Roman"/>
                <w:b/>
                <w:sz w:val="24"/>
                <w:szCs w:val="32"/>
              </w:rPr>
              <w:t>（万元）</w:t>
            </w:r>
          </w:p>
        </w:tc>
        <w:tc>
          <w:tcPr>
            <w:tcW w:w="985" w:type="dxa"/>
            <w:tcBorders>
              <w:tl2br w:val="nil"/>
              <w:tr2bl w:val="nil"/>
            </w:tcBorders>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经费</w:t>
            </w:r>
          </w:p>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来源</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2405" w:hRule="atLeast"/>
        </w:trPr>
        <w:tc>
          <w:tcPr>
            <w:tcW w:w="678"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1</w:t>
            </w:r>
          </w:p>
        </w:tc>
        <w:tc>
          <w:tcPr>
            <w:tcW w:w="228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金属硫蛋白1G在肝细胞癌中功能、机制及临床应用研究</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2018MS08007</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赵贵君</w:t>
            </w:r>
          </w:p>
        </w:tc>
        <w:tc>
          <w:tcPr>
            <w:tcW w:w="767"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2018年01月至2020年12月</w:t>
            </w:r>
          </w:p>
        </w:tc>
        <w:tc>
          <w:tcPr>
            <w:tcW w:w="769"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内蒙古自然科学基金</w:t>
            </w:r>
          </w:p>
        </w:tc>
        <w:tc>
          <w:tcPr>
            <w:tcW w:w="1025"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6</w:t>
            </w:r>
          </w:p>
        </w:tc>
        <w:tc>
          <w:tcPr>
            <w:tcW w:w="985" w:type="dxa"/>
            <w:tcBorders>
              <w:tl2br w:val="nil"/>
              <w:tr2bl w:val="nil"/>
            </w:tcBorders>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省部级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2540" w:hRule="atLeast"/>
        </w:trPr>
        <w:tc>
          <w:tcPr>
            <w:tcW w:w="678"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w:t>
            </w:r>
          </w:p>
        </w:tc>
        <w:tc>
          <w:tcPr>
            <w:tcW w:w="228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基于人工智能技术的下消化道内镜实时辅诊系统研发</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2019GG14</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赵贵君</w:t>
            </w:r>
          </w:p>
        </w:tc>
        <w:tc>
          <w:tcPr>
            <w:tcW w:w="767"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2019年11月至2021年12月</w:t>
            </w:r>
          </w:p>
        </w:tc>
        <w:tc>
          <w:tcPr>
            <w:tcW w:w="769"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内蒙古自治区科技计划</w:t>
            </w:r>
          </w:p>
        </w:tc>
        <w:tc>
          <w:tcPr>
            <w:tcW w:w="1025"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50</w:t>
            </w:r>
          </w:p>
        </w:tc>
        <w:tc>
          <w:tcPr>
            <w:tcW w:w="985" w:type="dxa"/>
            <w:tcBorders>
              <w:tl2br w:val="nil"/>
              <w:tr2bl w:val="nil"/>
            </w:tcBorders>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省部级</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2465" w:hRule="atLeast"/>
        </w:trPr>
        <w:tc>
          <w:tcPr>
            <w:tcW w:w="678"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3</w:t>
            </w:r>
          </w:p>
        </w:tc>
        <w:tc>
          <w:tcPr>
            <w:tcW w:w="228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基于深度神经网络的胃癌癌前病变内镜图像诊断模型的建立及应用研究</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81960539</w:t>
            </w:r>
          </w:p>
        </w:tc>
        <w:tc>
          <w:tcPr>
            <w:tcW w:w="1011"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赵贵君</w:t>
            </w:r>
          </w:p>
        </w:tc>
        <w:tc>
          <w:tcPr>
            <w:tcW w:w="767"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2020年01月至2023年12月</w:t>
            </w:r>
          </w:p>
        </w:tc>
        <w:tc>
          <w:tcPr>
            <w:tcW w:w="769"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hint="eastAsia" w:ascii="Times New Roman" w:hAnsi="Times New Roman" w:eastAsia="宋体" w:cs="Times New Roman"/>
                <w:sz w:val="24"/>
                <w:szCs w:val="32"/>
              </w:rPr>
              <w:t>国家自然科学基金</w:t>
            </w:r>
          </w:p>
        </w:tc>
        <w:tc>
          <w:tcPr>
            <w:tcW w:w="1025" w:type="dxa"/>
            <w:tcBorders>
              <w:tl2br w:val="nil"/>
              <w:tr2bl w:val="nil"/>
            </w:tcBorders>
            <w:vAlign w:val="center"/>
          </w:tcPr>
          <w:p>
            <w:pPr>
              <w:adjustRightInd w:val="0"/>
              <w:snapToGrid w:val="0"/>
              <w:jc w:val="center"/>
              <w:rPr>
                <w:rFonts w:ascii="Times New Roman" w:hAnsi="Times New Roman" w:eastAsia="宋体" w:cs="Times New Roman"/>
                <w:sz w:val="24"/>
                <w:szCs w:val="32"/>
              </w:rPr>
            </w:pPr>
            <w:r>
              <w:rPr>
                <w:rFonts w:ascii="Times New Roman" w:hAnsi="Times New Roman" w:eastAsia="宋体" w:cs="Times New Roman"/>
                <w:sz w:val="24"/>
                <w:szCs w:val="32"/>
              </w:rPr>
              <w:t>35</w:t>
            </w:r>
          </w:p>
        </w:tc>
        <w:tc>
          <w:tcPr>
            <w:tcW w:w="985" w:type="dxa"/>
            <w:tcBorders>
              <w:tl2br w:val="nil"/>
              <w:tr2bl w:val="nil"/>
            </w:tcBorders>
            <w:vAlign w:val="center"/>
          </w:tcPr>
          <w:p>
            <w:pPr>
              <w:adjustRightInd w:val="0"/>
              <w:snapToGrid w:val="0"/>
              <w:jc w:val="center"/>
              <w:rPr>
                <w:rFonts w:ascii="宋体" w:hAnsi="宋体" w:eastAsia="宋体" w:cs="Times New Roman"/>
                <w:sz w:val="24"/>
                <w:szCs w:val="32"/>
              </w:rPr>
            </w:pPr>
            <w:r>
              <w:rPr>
                <w:rFonts w:hint="eastAsia" w:ascii="宋体" w:hAnsi="宋体" w:eastAsia="宋体" w:cs="Times New Roman"/>
                <w:sz w:val="24"/>
                <w:szCs w:val="32"/>
              </w:rPr>
              <w:t>国家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trPr>
        <w:tc>
          <w:tcPr>
            <w:tcW w:w="8527" w:type="dxa"/>
            <w:gridSpan w:val="8"/>
            <w:tcBorders>
              <w:tl2br w:val="nil"/>
              <w:tr2bl w:val="nil"/>
            </w:tcBorders>
            <w:vAlign w:val="center"/>
          </w:tcPr>
          <w:p>
            <w:pPr>
              <w:adjustRightInd w:val="0"/>
              <w:snapToGrid w:val="0"/>
              <w:spacing w:line="288" w:lineRule="auto"/>
              <w:rPr>
                <w:rFonts w:ascii="仿宋" w:hAnsi="仿宋" w:eastAsia="仿宋" w:cs="Times New Roman"/>
                <w:sz w:val="24"/>
                <w:szCs w:val="32"/>
              </w:rPr>
            </w:pPr>
            <w:r>
              <w:rPr>
                <w:rFonts w:hint="eastAsia" w:ascii="仿宋" w:hAnsi="仿宋" w:eastAsia="仿宋" w:cs="仿宋"/>
                <w:sz w:val="24"/>
                <w:szCs w:val="32"/>
              </w:rPr>
              <w:t>注：</w:t>
            </w:r>
            <w:r>
              <w:rPr>
                <w:rFonts w:hint="eastAsia" w:ascii="仿宋" w:hAnsi="仿宋" w:eastAsia="仿宋" w:cs="仿宋"/>
                <w:sz w:val="24"/>
              </w:rPr>
              <w:t>类别一般指国家重点研发计划、国家自然科学基金及自治区各类科技计划。</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三、科研水平与贡献</w:t>
      </w:r>
    </w:p>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1.概述</w:t>
      </w:r>
    </w:p>
    <w:tbl>
      <w:tblPr>
        <w:tblStyle w:val="13"/>
        <w:tblW w:w="85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8" w:type="dxa"/>
          </w:tcPr>
          <w:p>
            <w:pPr>
              <w:ind w:firstLine="480" w:firstLineChars="200"/>
              <w:rPr>
                <w:rFonts w:ascii="仿宋_GB2312" w:hAnsi="仿宋" w:eastAsia="仿宋_GB2312" w:cs="仿宋"/>
                <w:sz w:val="24"/>
                <w:szCs w:val="24"/>
              </w:rPr>
            </w:pPr>
            <w:r>
              <w:rPr>
                <w:rFonts w:hint="eastAsia" w:ascii="仿宋_GB2312" w:hAnsi="仿宋" w:eastAsia="仿宋_GB2312" w:cs="仿宋"/>
                <w:sz w:val="24"/>
                <w:szCs w:val="24"/>
              </w:rPr>
              <w:t>简要概述评估期内实验室在每个研究方向取得的重要进展，包括取得的系统性和原创性成果；发表论文、制（修）订标准、专著、授权发明专利转让和应用情况、成果转化应用产生经济和社会效益等情况。</w:t>
            </w:r>
          </w:p>
          <w:p>
            <w:pPr>
              <w:spacing w:before="240"/>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围绕消化内镜人工智能辅助诊断系统研发，实验室承担国家自然科学基金项目1项，内蒙古自治区科技计划项目1项，参与由香港中文大学牵头的多中心研究—</w:t>
            </w:r>
            <w:r>
              <w:rPr>
                <w:rFonts w:ascii="Times New Roman" w:hAnsi="Times New Roman" w:eastAsia="仿宋" w:cs="Times New Roman"/>
                <w:sz w:val="24"/>
                <w:szCs w:val="24"/>
              </w:rPr>
              <w:t>在人工智能辅助下进行筛查性质的大肠镜检查能否提高腺瘤的检测率</w:t>
            </w:r>
            <w:r>
              <w:rPr>
                <w:rFonts w:hint="eastAsia" w:ascii="Times New Roman" w:hAnsi="Times New Roman" w:eastAsia="仿宋" w:cs="Times New Roman"/>
                <w:sz w:val="24"/>
                <w:szCs w:val="24"/>
              </w:rPr>
              <w:t>。获得计算机软件著作权</w:t>
            </w:r>
            <w:r>
              <w:rPr>
                <w:rFonts w:ascii="Times New Roman" w:hAnsi="Times New Roman" w:eastAsia="仿宋" w:cs="Times New Roman"/>
                <w:sz w:val="24"/>
                <w:szCs w:val="24"/>
              </w:rPr>
              <w:t>7项</w:t>
            </w:r>
            <w:r>
              <w:rPr>
                <w:rFonts w:hint="eastAsia" w:ascii="Times New Roman" w:hAnsi="Times New Roman" w:eastAsia="仿宋" w:cs="Times New Roman"/>
                <w:sz w:val="24"/>
                <w:szCs w:val="24"/>
              </w:rPr>
              <w:t>。其中</w:t>
            </w:r>
            <w:r>
              <w:rPr>
                <w:rFonts w:ascii="Times New Roman" w:hAnsi="Times New Roman" w:eastAsia="仿宋" w:cs="Times New Roman"/>
                <w:sz w:val="24"/>
                <w:szCs w:val="24"/>
              </w:rPr>
              <w:t>2项计算机软件著作权</w:t>
            </w:r>
            <w:r>
              <w:rPr>
                <w:rFonts w:hint="eastAsia" w:ascii="Times New Roman" w:hAnsi="Times New Roman" w:eastAsia="仿宋" w:cs="Times New Roman"/>
                <w:sz w:val="24"/>
                <w:szCs w:val="24"/>
              </w:rPr>
              <w:t>亮相</w:t>
            </w:r>
            <w:r>
              <w:rPr>
                <w:rFonts w:ascii="Times New Roman" w:hAnsi="Times New Roman" w:eastAsia="仿宋" w:cs="Times New Roman"/>
                <w:sz w:val="24"/>
                <w:szCs w:val="24"/>
              </w:rPr>
              <w:t>2019年全区科技成果转移转化对接大会，</w:t>
            </w:r>
            <w:r>
              <w:rPr>
                <w:rFonts w:hint="eastAsia" w:ascii="Times New Roman" w:hAnsi="Times New Roman" w:eastAsia="仿宋" w:cs="Times New Roman"/>
                <w:sz w:val="24"/>
                <w:szCs w:val="24"/>
              </w:rPr>
              <w:t>为后续的技术成果转让做好准备，</w:t>
            </w:r>
            <w:r>
              <w:rPr>
                <w:rFonts w:ascii="Times New Roman" w:hAnsi="Times New Roman" w:eastAsia="仿宋" w:cs="Times New Roman"/>
                <w:sz w:val="24"/>
                <w:szCs w:val="24"/>
              </w:rPr>
              <w:t>标志着我院内镜诊疗进入人工智能时代</w:t>
            </w:r>
            <w:r>
              <w:rPr>
                <w:rFonts w:hint="eastAsia" w:ascii="Times New Roman" w:hAnsi="Times New Roman" w:eastAsia="仿宋" w:cs="Times New Roman"/>
                <w:sz w:val="24"/>
                <w:szCs w:val="24"/>
              </w:rPr>
              <w:t>。另外，取得</w:t>
            </w:r>
            <w:r>
              <w:rPr>
                <w:rFonts w:ascii="Times New Roman" w:hAnsi="Times New Roman" w:eastAsia="仿宋" w:cs="Times New Roman"/>
                <w:sz w:val="24"/>
                <w:szCs w:val="24"/>
              </w:rPr>
              <w:t>15项计算机软件著作权共享授权进行科研目的使用。</w:t>
            </w:r>
            <w:r>
              <w:rPr>
                <w:rFonts w:hint="eastAsia" w:ascii="Times New Roman" w:hAnsi="Times New Roman" w:eastAsia="仿宋" w:cs="Times New Roman"/>
                <w:sz w:val="24"/>
                <w:szCs w:val="24"/>
              </w:rPr>
              <w:t>研发消化内镜人工智能辅助诊断系统，并进行技术转化，有助于提高内镜对早期肿瘤检出率，缩小内镜医生水平差异，并促进各级医院消化内镜诊断水平逐步同质化，提高全区整体消化内镜诊疗水平，更好地交流新技术、新发展和最新研究成果具有积极的推动作用。</w:t>
            </w:r>
          </w:p>
          <w:p>
            <w:pPr>
              <w:spacing w:after="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围绕着常见消化系统肿瘤发病机理研究，实验室承担内蒙古自治区自然科学基金面上项目1项，发表SCI论文2篇，中文核心期刊1篇。</w:t>
            </w:r>
            <w:r>
              <w:rPr>
                <w:rFonts w:hint="eastAsia" w:ascii="Times New Roman" w:hAnsi="Times New Roman" w:eastAsia="仿宋" w:cs="Times New Roman"/>
                <w:sz w:val="24"/>
                <w:szCs w:val="24"/>
              </w:rPr>
              <w:t>研究成果探究常见消化系统肿瘤发病机理，揭示表观遗传调控基因表达参与肿瘤发生的机制，揭示DNA甲基化在疾病预后预测中的临床价值，为开展消化系统肿瘤基础研究提供新方向。</w:t>
            </w:r>
          </w:p>
        </w:tc>
      </w:tr>
    </w:tbl>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2.实验室取得的主要标志性成果（逐项填写，不超过3项，表格可复制）</w:t>
      </w:r>
    </w:p>
    <w:p>
      <w:pPr>
        <w:adjustRightInd w:val="0"/>
        <w:snapToGrid w:val="0"/>
        <w:spacing w:before="156" w:beforeLines="50" w:after="156" w:afterLines="50" w:line="288" w:lineRule="auto"/>
        <w:ind w:firstLine="480" w:firstLineChars="200"/>
        <w:rPr>
          <w:rFonts w:ascii="Calibri" w:hAnsi="Calibri" w:eastAsia="宋体" w:cs="Times New Roman"/>
          <w:sz w:val="24"/>
        </w:rPr>
      </w:pPr>
      <w:r>
        <w:rPr>
          <w:rFonts w:hint="eastAsia" w:ascii="Calibri" w:hAnsi="Calibri" w:eastAsia="宋体" w:cs="Times New Roman"/>
          <w:sz w:val="24"/>
        </w:rPr>
        <w:t>标志性成果是指评估期内在实验室主要研究方向上，以实验室为基地、实验室固定人员为主产生的系统性重大研究成果，而不是某研究方向上关联度不高的成果汇总和拼凑。</w:t>
      </w:r>
    </w:p>
    <w:p>
      <w:pPr>
        <w:adjustRightInd w:val="0"/>
        <w:snapToGrid w:val="0"/>
        <w:spacing w:before="156" w:beforeLines="50" w:after="156" w:afterLines="50" w:line="288" w:lineRule="auto"/>
        <w:ind w:firstLine="480" w:firstLineChars="200"/>
        <w:rPr>
          <w:rFonts w:ascii="Calibri" w:hAnsi="Calibri" w:eastAsia="宋体" w:cs="Times New Roman"/>
          <w:sz w:val="24"/>
        </w:rPr>
      </w:pPr>
      <w:r>
        <w:rPr>
          <w:rFonts w:hint="eastAsia" w:ascii="Calibri" w:hAnsi="Calibri" w:eastAsia="宋体" w:cs="Times New Roman"/>
          <w:sz w:val="24"/>
        </w:rPr>
        <w:t>标志性成果名称表述应明确、具体，成果按基础研究、应用基础研究和基础性工作分类。</w:t>
      </w:r>
    </w:p>
    <w:tbl>
      <w:tblPr>
        <w:tblStyle w:val="1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4" w:type="dxa"/>
          <w:bottom w:w="0" w:type="dxa"/>
          <w:right w:w="14" w:type="dxa"/>
        </w:tblCellMar>
      </w:tblPr>
      <w:tblGrid>
        <w:gridCol w:w="574"/>
        <w:gridCol w:w="1235"/>
        <w:gridCol w:w="1070"/>
        <w:gridCol w:w="773"/>
        <w:gridCol w:w="641"/>
        <w:gridCol w:w="351"/>
        <w:gridCol w:w="1985"/>
        <w:gridCol w:w="328"/>
        <w:gridCol w:w="157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cantSplit/>
          <w:trHeight w:val="567" w:hRule="exact"/>
          <w:jc w:val="center"/>
        </w:trPr>
        <w:tc>
          <w:tcPr>
            <w:tcW w:w="8527" w:type="dxa"/>
            <w:gridSpan w:val="9"/>
            <w:tcBorders>
              <w:bottom w:val="single" w:color="auto" w:sz="4" w:space="0"/>
            </w:tcBorders>
            <w:vAlign w:val="center"/>
          </w:tcPr>
          <w:p>
            <w:pPr>
              <w:adjustRightInd w:val="0"/>
              <w:snapToGrid w:val="0"/>
              <w:jc w:val="center"/>
              <w:rPr>
                <w:rFonts w:ascii="宋体" w:hAnsi="宋体" w:eastAsia="宋体" w:cs="Times New Roman"/>
                <w:b/>
                <w:sz w:val="24"/>
                <w:szCs w:val="32"/>
              </w:rPr>
            </w:pPr>
            <w:r>
              <w:rPr>
                <w:rFonts w:hint="eastAsia" w:ascii="黑体" w:hAnsi="黑体" w:eastAsia="黑体" w:cs="Times New Roman"/>
                <w:sz w:val="24"/>
                <w:szCs w:val="32"/>
              </w:rPr>
              <w:t>表4：实验室标志性成果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cantSplit/>
          <w:trHeight w:val="573" w:hRule="atLeast"/>
          <w:jc w:val="center"/>
        </w:trPr>
        <w:tc>
          <w:tcPr>
            <w:tcW w:w="2879" w:type="dxa"/>
            <w:gridSpan w:val="3"/>
            <w:tcBorders>
              <w:bottom w:val="single" w:color="auto" w:sz="4" w:space="0"/>
            </w:tcBorders>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标志性</w:t>
            </w:r>
            <w:r>
              <w:rPr>
                <w:rFonts w:ascii="宋体" w:hAnsi="宋体" w:eastAsia="宋体" w:cs="Times New Roman"/>
                <w:b/>
                <w:sz w:val="24"/>
                <w:szCs w:val="32"/>
              </w:rPr>
              <w:t>成果名称</w:t>
            </w:r>
          </w:p>
        </w:tc>
        <w:tc>
          <w:tcPr>
            <w:tcW w:w="1414" w:type="dxa"/>
            <w:gridSpan w:val="2"/>
            <w:tcBorders>
              <w:bottom w:val="single" w:color="auto" w:sz="4" w:space="0"/>
            </w:tcBorders>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类别</w:t>
            </w:r>
          </w:p>
        </w:tc>
        <w:tc>
          <w:tcPr>
            <w:tcW w:w="2664" w:type="dxa"/>
            <w:gridSpan w:val="3"/>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实验室参与的</w:t>
            </w:r>
            <w:r>
              <w:rPr>
                <w:rFonts w:ascii="宋体" w:hAnsi="宋体" w:eastAsia="宋体" w:cs="Times New Roman"/>
                <w:b/>
                <w:sz w:val="24"/>
                <w:szCs w:val="32"/>
              </w:rPr>
              <w:t>固定人员名单</w:t>
            </w:r>
          </w:p>
        </w:tc>
        <w:tc>
          <w:tcPr>
            <w:tcW w:w="1570" w:type="dxa"/>
            <w:tcBorders>
              <w:bottom w:val="single" w:color="auto" w:sz="4" w:space="0"/>
            </w:tcBorders>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所属</w:t>
            </w:r>
            <w:r>
              <w:rPr>
                <w:rFonts w:ascii="宋体" w:hAnsi="宋体" w:eastAsia="宋体" w:cs="Times New Roman"/>
                <w:b/>
                <w:sz w:val="24"/>
                <w:szCs w:val="32"/>
              </w:rPr>
              <w:t>研究方向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cantSplit/>
          <w:trHeight w:val="570" w:hRule="atLeast"/>
          <w:jc w:val="center"/>
        </w:trPr>
        <w:tc>
          <w:tcPr>
            <w:tcW w:w="2879" w:type="dxa"/>
            <w:gridSpan w:val="3"/>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消化道异常判别软件V1.0</w:t>
            </w:r>
          </w:p>
        </w:tc>
        <w:tc>
          <w:tcPr>
            <w:tcW w:w="1414" w:type="dxa"/>
            <w:gridSpan w:val="2"/>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应用基础研究</w:t>
            </w:r>
          </w:p>
        </w:tc>
        <w:tc>
          <w:tcPr>
            <w:tcW w:w="2664" w:type="dxa"/>
            <w:gridSpan w:val="3"/>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赵贵君, 李雪, 梁雄</w:t>
            </w:r>
          </w:p>
        </w:tc>
        <w:tc>
          <w:tcPr>
            <w:tcW w:w="1570" w:type="dxa"/>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研发消化内镜人工智能辅助诊断系统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cantSplit/>
          <w:trHeight w:val="570" w:hRule="atLeast"/>
          <w:jc w:val="center"/>
        </w:trPr>
        <w:tc>
          <w:tcPr>
            <w:tcW w:w="2879" w:type="dxa"/>
            <w:gridSpan w:val="3"/>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下消化道内窥镜图像半自动标注软件V1.0</w:t>
            </w:r>
          </w:p>
        </w:tc>
        <w:tc>
          <w:tcPr>
            <w:tcW w:w="1414" w:type="dxa"/>
            <w:gridSpan w:val="2"/>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应用基础研究</w:t>
            </w:r>
          </w:p>
        </w:tc>
        <w:tc>
          <w:tcPr>
            <w:tcW w:w="2664" w:type="dxa"/>
            <w:gridSpan w:val="3"/>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赵贵君, 梁雄, 李雪</w:t>
            </w:r>
          </w:p>
        </w:tc>
        <w:tc>
          <w:tcPr>
            <w:tcW w:w="1570" w:type="dxa"/>
            <w:tcBorders>
              <w:bottom w:val="single" w:color="auto" w:sz="4" w:space="0"/>
            </w:tcBorders>
            <w:vAlign w:val="center"/>
          </w:tcPr>
          <w:p>
            <w:pPr>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研发消化内镜人工智能辅助诊断系统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trHeight w:val="3524" w:hRule="atLeast"/>
          <w:jc w:val="center"/>
        </w:trPr>
        <w:tc>
          <w:tcPr>
            <w:tcW w:w="8527" w:type="dxa"/>
            <w:gridSpan w:val="9"/>
          </w:tcPr>
          <w:p>
            <w:pPr>
              <w:ind w:firstLine="480" w:firstLineChars="200"/>
              <w:rPr>
                <w:rFonts w:ascii="仿宋" w:hAnsi="仿宋" w:eastAsia="仿宋" w:cs="仿宋"/>
                <w:sz w:val="24"/>
                <w:szCs w:val="24"/>
              </w:rPr>
            </w:pPr>
            <w:r>
              <w:rPr>
                <w:rFonts w:hint="eastAsia" w:ascii="仿宋" w:hAnsi="仿宋" w:eastAsia="仿宋" w:cs="仿宋"/>
                <w:sz w:val="24"/>
                <w:szCs w:val="24"/>
              </w:rPr>
              <w:t>简要介绍标志性成果的主要内容、主要的科技创新贡献（包括理论创新、技术突破、公共服务和资源共享）、产生影响的重要依据（包括获得奖励、成果转化及产生经济和社会效益等）。</w:t>
            </w:r>
          </w:p>
          <w:p>
            <w:pPr>
              <w:ind w:firstLine="480" w:firstLineChars="200"/>
              <w:rPr>
                <w:rFonts w:ascii="仿宋" w:hAnsi="仿宋" w:eastAsia="仿宋" w:cs="仿宋"/>
                <w:sz w:val="24"/>
                <w:szCs w:val="24"/>
              </w:rPr>
            </w:pPr>
            <w:r>
              <w:rPr>
                <w:rFonts w:hint="eastAsia" w:ascii="仿宋" w:hAnsi="仿宋" w:eastAsia="仿宋" w:cs="仿宋"/>
                <w:sz w:val="24"/>
                <w:szCs w:val="24"/>
              </w:rPr>
              <w:t>另：佐证清单包括论文、专著、申请或授权发明专利、软件著作权、新药证书，新品种审定，制（修）定标准，特邀报告等，并在附件材料中提供相应证明材料；获奖成果不作为单项成果填写。</w:t>
            </w:r>
          </w:p>
          <w:p>
            <w:pPr>
              <w:spacing w:before="240"/>
              <w:ind w:firstLine="482" w:firstLineChars="200"/>
              <w:rPr>
                <w:rFonts w:ascii="Times New Roman" w:hAnsi="Times New Roman" w:eastAsia="仿宋" w:cs="Times New Roman"/>
                <w:b/>
                <w:sz w:val="24"/>
                <w:szCs w:val="24"/>
              </w:rPr>
            </w:pPr>
            <w:r>
              <w:rPr>
                <w:rFonts w:ascii="Times New Roman" w:hAnsi="Times New Roman" w:eastAsia="仿宋" w:cs="Times New Roman"/>
                <w:b/>
                <w:sz w:val="24"/>
                <w:szCs w:val="24"/>
              </w:rPr>
              <w:t>实验室取得的2项计算机软件著作权</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消化道异常判别软件V1.0</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下消化道内窥镜图像半自动标注软件V1.0</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亮相2019年全区科技成果转移转化对接大会，</w:t>
            </w:r>
            <w:r>
              <w:rPr>
                <w:rFonts w:hint="eastAsia" w:ascii="Times New Roman" w:hAnsi="Times New Roman" w:eastAsia="仿宋" w:cs="Times New Roman"/>
                <w:b/>
                <w:sz w:val="24"/>
                <w:szCs w:val="24"/>
              </w:rPr>
              <w:t>受到布小林主席、欧阳晓晖副主席的肯定和好评，并予以促进成果转化的指导意见。</w:t>
            </w:r>
            <w:r>
              <w:rPr>
                <w:rFonts w:ascii="Times New Roman" w:hAnsi="Times New Roman" w:eastAsia="仿宋" w:cs="Times New Roman"/>
                <w:b/>
                <w:sz w:val="24"/>
                <w:szCs w:val="24"/>
              </w:rPr>
              <w:t>成为</w:t>
            </w:r>
            <w:r>
              <w:rPr>
                <w:rFonts w:hint="eastAsia" w:ascii="Times New Roman" w:hAnsi="Times New Roman" w:eastAsia="仿宋" w:cs="Times New Roman"/>
                <w:b/>
                <w:sz w:val="24"/>
                <w:szCs w:val="24"/>
              </w:rPr>
              <w:t>评估基准时间内的</w:t>
            </w:r>
            <w:r>
              <w:rPr>
                <w:rFonts w:ascii="Times New Roman" w:hAnsi="Times New Roman" w:eastAsia="仿宋" w:cs="Times New Roman"/>
                <w:b/>
                <w:sz w:val="24"/>
                <w:szCs w:val="24"/>
              </w:rPr>
              <w:t>主要标志性成果。</w:t>
            </w:r>
            <w:r>
              <w:rPr>
                <w:rFonts w:hint="eastAsia" w:ascii="Times New Roman" w:hAnsi="Times New Roman" w:eastAsia="仿宋" w:cs="Times New Roman"/>
                <w:b/>
                <w:sz w:val="24"/>
                <w:szCs w:val="24"/>
              </w:rPr>
              <w:t>(</w:t>
            </w:r>
            <w:r>
              <w:rPr>
                <w:rFonts w:ascii="Times New Roman" w:hAnsi="Times New Roman" w:eastAsia="仿宋" w:cs="Times New Roman"/>
                <w:b/>
                <w:sz w:val="24"/>
                <w:szCs w:val="24"/>
              </w:rPr>
              <w:t>2021</w:t>
            </w:r>
            <w:r>
              <w:rPr>
                <w:rFonts w:hint="eastAsia" w:ascii="Times New Roman" w:hAnsi="Times New Roman" w:eastAsia="仿宋" w:cs="Times New Roman"/>
                <w:b/>
                <w:sz w:val="24"/>
                <w:szCs w:val="24"/>
              </w:rPr>
              <w:t>年4月28日成果成功转化，协议见附件)</w:t>
            </w:r>
          </w:p>
          <w:p>
            <w:pPr>
              <w:spacing w:after="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这2项成果是一种利用计算机技术辅助结肠镜检查的软件。它们利用人工智能技术，通过计算机学习数十万张内镜图像后，在内镜检查过程中，实时计算分析肠道内各类病变，可以作为算法模块同硬件和其他软件框架相结合，在肠镜检查过程中实时提示肠道粘膜异常。现在，人工智能技术观测已经投入临床使用。与医生肉眼通过镜头对胃肠壁进行观测相比，其识别反应时间为0.025秒，是人眼反应时间的1/4到1/8，能更高效快捷地为患者提供医疗服务。其精确度能达到识别直径1毫米的息肉，临床准确率是94%。有效提高肠道检查过程中的病变检出率，继而提高结直肠癌和癌前病变的早期检出率，同时也避免了肉眼疲劳引起的误诊、漏诊，提高病变息肉辨识率。最终，降低结直肠癌的死亡率。据了解，人工智能技术应用到内镜识别，在全球临床应用中属于首创。这2项成果亮相2019年全区科技成果转移转化对接大会，标志着我区内镜诊疗进入人工智能时代。</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trHeight w:val="567" w:hRule="exact"/>
          <w:jc w:val="center"/>
        </w:trPr>
        <w:tc>
          <w:tcPr>
            <w:tcW w:w="8527" w:type="dxa"/>
            <w:gridSpan w:val="9"/>
            <w:vAlign w:val="center"/>
          </w:tcPr>
          <w:p>
            <w:pPr>
              <w:jc w:val="center"/>
              <w:rPr>
                <w:rFonts w:ascii="宋体" w:hAnsi="宋体" w:eastAsia="宋体" w:cs="Times New Roman"/>
                <w:sz w:val="24"/>
              </w:rPr>
            </w:pPr>
            <w:r>
              <w:rPr>
                <w:rFonts w:hint="eastAsia" w:ascii="黑体" w:hAnsi="黑体" w:eastAsia="黑体" w:cs="黑体"/>
                <w:bCs/>
                <w:sz w:val="24"/>
                <w:szCs w:val="24"/>
              </w:rPr>
              <w:t>标志性成果1佐证清单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trHeight w:val="90" w:hRule="atLeast"/>
          <w:jc w:val="center"/>
        </w:trPr>
        <w:tc>
          <w:tcPr>
            <w:tcW w:w="574"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123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成果类型</w:t>
            </w:r>
          </w:p>
        </w:tc>
        <w:tc>
          <w:tcPr>
            <w:tcW w:w="1843"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成果名称</w:t>
            </w:r>
          </w:p>
        </w:tc>
        <w:tc>
          <w:tcPr>
            <w:tcW w:w="992"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完成人</w:t>
            </w:r>
          </w:p>
        </w:tc>
        <w:tc>
          <w:tcPr>
            <w:tcW w:w="198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刊物、出版社或</w:t>
            </w:r>
          </w:p>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授权单位名称</w:t>
            </w:r>
          </w:p>
        </w:tc>
        <w:tc>
          <w:tcPr>
            <w:tcW w:w="1898" w:type="dxa"/>
            <w:gridSpan w:val="2"/>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年、卷、期、页或专利号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trHeight w:val="400" w:hRule="atLeast"/>
          <w:jc w:val="center"/>
        </w:trPr>
        <w:tc>
          <w:tcPr>
            <w:tcW w:w="574"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1</w:t>
            </w:r>
          </w:p>
        </w:tc>
        <w:tc>
          <w:tcPr>
            <w:tcW w:w="1235"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软件著作权</w:t>
            </w:r>
          </w:p>
        </w:tc>
        <w:tc>
          <w:tcPr>
            <w:tcW w:w="1843"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消化道异常判别软件V1.0</w:t>
            </w:r>
          </w:p>
        </w:tc>
        <w:tc>
          <w:tcPr>
            <w:tcW w:w="992"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赵贵君, 李雪, 梁雄</w:t>
            </w:r>
          </w:p>
        </w:tc>
        <w:tc>
          <w:tcPr>
            <w:tcW w:w="1985"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中华人民共和国国家版权局</w:t>
            </w:r>
          </w:p>
        </w:tc>
        <w:tc>
          <w:tcPr>
            <w:tcW w:w="1898"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2019SR1417034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4" w:type="dxa"/>
            <w:bottom w:w="0" w:type="dxa"/>
            <w:right w:w="14" w:type="dxa"/>
          </w:tblCellMar>
        </w:tblPrEx>
        <w:trPr>
          <w:trHeight w:val="338" w:hRule="atLeast"/>
          <w:jc w:val="center"/>
        </w:trPr>
        <w:tc>
          <w:tcPr>
            <w:tcW w:w="574"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2</w:t>
            </w:r>
          </w:p>
        </w:tc>
        <w:tc>
          <w:tcPr>
            <w:tcW w:w="1235"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软件著作权</w:t>
            </w:r>
          </w:p>
        </w:tc>
        <w:tc>
          <w:tcPr>
            <w:tcW w:w="1843"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下消化道内窥镜图像半自动标注软件V1.0</w:t>
            </w:r>
          </w:p>
        </w:tc>
        <w:tc>
          <w:tcPr>
            <w:tcW w:w="992"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赵贵君, 梁雄, 李雪</w:t>
            </w:r>
          </w:p>
        </w:tc>
        <w:tc>
          <w:tcPr>
            <w:tcW w:w="1985" w:type="dxa"/>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中华人民共和国国家版权局</w:t>
            </w:r>
          </w:p>
        </w:tc>
        <w:tc>
          <w:tcPr>
            <w:tcW w:w="1898" w:type="dxa"/>
            <w:gridSpan w:val="2"/>
            <w:vAlign w:val="center"/>
          </w:tcPr>
          <w:p>
            <w:pPr>
              <w:suppressAutoHyphens/>
              <w:adjustRightInd w:val="0"/>
              <w:snapToGrid w:val="0"/>
              <w:jc w:val="center"/>
              <w:textAlignment w:val="bottom"/>
              <w:rPr>
                <w:rFonts w:ascii="Times New Roman" w:hAnsi="Times New Roman" w:eastAsia="宋体" w:cs="Times New Roman"/>
                <w:sz w:val="24"/>
              </w:rPr>
            </w:pPr>
            <w:r>
              <w:rPr>
                <w:rFonts w:ascii="Times New Roman" w:hAnsi="Times New Roman" w:eastAsia="宋体" w:cs="Times New Roman"/>
                <w:sz w:val="24"/>
              </w:rPr>
              <w:t>2019SR1417107</w:t>
            </w:r>
          </w:p>
        </w:tc>
      </w:tr>
    </w:tbl>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3.建设期内取得的其它标志性成果</w:t>
      </w:r>
    </w:p>
    <w:tbl>
      <w:tblPr>
        <w:tblStyle w:val="13"/>
        <w:tblW w:w="8528"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57" w:type="dxa"/>
          <w:left w:w="57" w:type="dxa"/>
          <w:bottom w:w="57" w:type="dxa"/>
          <w:right w:w="57" w:type="dxa"/>
        </w:tblCellMar>
      </w:tblPr>
      <w:tblGrid>
        <w:gridCol w:w="700"/>
        <w:gridCol w:w="722"/>
        <w:gridCol w:w="752"/>
        <w:gridCol w:w="139"/>
        <w:gridCol w:w="806"/>
        <w:gridCol w:w="36"/>
        <w:gridCol w:w="565"/>
        <w:gridCol w:w="525"/>
        <w:gridCol w:w="322"/>
        <w:gridCol w:w="495"/>
        <w:gridCol w:w="199"/>
        <w:gridCol w:w="718"/>
        <w:gridCol w:w="250"/>
        <w:gridCol w:w="735"/>
        <w:gridCol w:w="426"/>
        <w:gridCol w:w="26"/>
        <w:gridCol w:w="1112"/>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pBdr>
                <w:top w:val="none" w:color="auto" w:sz="0" w:space="1"/>
                <w:left w:val="none" w:color="auto" w:sz="0" w:space="4"/>
                <w:bottom w:val="none" w:color="auto" w:sz="0" w:space="1"/>
                <w:right w:val="none" w:color="auto" w:sz="0" w:space="4"/>
              </w:pBd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表5：发表的论文（代表性论文不超过10篇）</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论文题目</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实验室作者及排序</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刊物名称</w:t>
            </w:r>
          </w:p>
        </w:tc>
        <w:tc>
          <w:tcPr>
            <w:tcW w:w="2549"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年、卷、期、页</w:t>
            </w:r>
          </w:p>
          <w:p>
            <w:pPr>
              <w:adjustRightInd w:val="0"/>
              <w:snapToGrid w:val="0"/>
              <w:jc w:val="center"/>
              <w:rPr>
                <w:rFonts w:ascii="Times New Roman" w:hAnsi="Times New Roman" w:eastAsia="宋体" w:cs="Times New Roman"/>
                <w:b/>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1</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Androgen Receptor Promotes Gastric Carcinogenesis via Upregulating Cell Cycle-Related Kinase Expression</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Zhao GJ (T)</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J Cancer</w:t>
            </w:r>
          </w:p>
        </w:tc>
        <w:tc>
          <w:tcPr>
            <w:tcW w:w="2549"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2019 Jul 10;10(18):4178-4188</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2</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MT1G is Silenced by DNA Methylation and Contributes to the Pathogenesis of Hepatocellular Carcinoma</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Zhao GJ (co-first)</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J Cancer</w:t>
            </w:r>
          </w:p>
        </w:tc>
        <w:tc>
          <w:tcPr>
            <w:tcW w:w="2549"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2018 Jul 16;9(16):2807-2816</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3</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Mucosal microbiome dysbiosis in gastric carcinogenesis</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 xml:space="preserve">Zhao G (4) </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Gut</w:t>
            </w:r>
          </w:p>
        </w:tc>
        <w:tc>
          <w:tcPr>
            <w:tcW w:w="2549"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2018 Jun;67(6):1024-1032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肿瘤中细胞周期相关激酶的研究进展</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赵贵君</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北京医学</w:t>
            </w:r>
          </w:p>
        </w:tc>
        <w:tc>
          <w:tcPr>
            <w:tcW w:w="2549"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2020,42(04):320-322.</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表6：出版的专著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2455"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名称</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作者</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承担字数</w:t>
            </w:r>
          </w:p>
        </w:tc>
        <w:tc>
          <w:tcPr>
            <w:tcW w:w="1411"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出版时间</w:t>
            </w:r>
          </w:p>
        </w:tc>
        <w:tc>
          <w:tcPr>
            <w:tcW w:w="1138" w:type="dxa"/>
            <w:gridSpan w:val="2"/>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出版社名称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55" w:type="dxa"/>
            <w:gridSpan w:val="5"/>
            <w:tcBorders>
              <w:tl2br w:val="nil"/>
              <w:tr2bl w:val="nil"/>
            </w:tcBorders>
            <w:vAlign w:val="bottom"/>
          </w:tcPr>
          <w:p>
            <w:pPr>
              <w:widowControl/>
              <w:adjustRightInd w:val="0"/>
              <w:snapToGrid w:val="0"/>
              <w:spacing w:line="353" w:lineRule="auto"/>
              <w:jc w:val="center"/>
              <w:rPr>
                <w:rFonts w:ascii="Times New Roman" w:hAnsi="Times New Roman" w:eastAsia="宋体" w:cs="Times New Roman"/>
                <w:kern w:val="0"/>
                <w:sz w:val="24"/>
                <w:szCs w:val="24"/>
              </w:rPr>
            </w:pPr>
            <w:r>
              <w:rPr>
                <w:rFonts w:ascii="Times New Roman" w:hAnsi="Times New Roman" w:eastAsia="宋体" w:cs="Times New Roman"/>
                <w:kern w:val="0"/>
                <w:sz w:val="24"/>
                <w:szCs w:val="24"/>
              </w:rPr>
              <w:t>无</w:t>
            </w:r>
          </w:p>
        </w:tc>
        <w:tc>
          <w:tcPr>
            <w:tcW w:w="1412" w:type="dxa"/>
            <w:gridSpan w:val="3"/>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412" w:type="dxa"/>
            <w:gridSpan w:val="3"/>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411" w:type="dxa"/>
            <w:gridSpan w:val="3"/>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138" w:type="dxa"/>
            <w:gridSpan w:val="2"/>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表7：实验室制（修）订的标准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2419" w:type="dxa"/>
            <w:gridSpan w:val="4"/>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标准名称</w:t>
            </w:r>
          </w:p>
        </w:tc>
        <w:tc>
          <w:tcPr>
            <w:tcW w:w="1126"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编号</w:t>
            </w:r>
          </w:p>
        </w:tc>
        <w:tc>
          <w:tcPr>
            <w:tcW w:w="1984"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起草人</w:t>
            </w:r>
          </w:p>
        </w:tc>
        <w:tc>
          <w:tcPr>
            <w:tcW w:w="1187"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发布时间</w:t>
            </w:r>
          </w:p>
        </w:tc>
        <w:tc>
          <w:tcPr>
            <w:tcW w:w="1112"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类别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19" w:type="dxa"/>
            <w:gridSpan w:val="4"/>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无</w:t>
            </w:r>
          </w:p>
        </w:tc>
        <w:tc>
          <w:tcPr>
            <w:tcW w:w="1126"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984"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187"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112" w:type="dxa"/>
            <w:tcBorders>
              <w:tl2br w:val="nil"/>
              <w:tr2bl w:val="nil"/>
            </w:tcBorders>
            <w:vAlign w:val="center"/>
          </w:tcPr>
          <w:p>
            <w:pPr>
              <w:adjustRightInd w:val="0"/>
              <w:snapToGrid w:val="0"/>
              <w:jc w:val="center"/>
              <w:rPr>
                <w:rFonts w:ascii="Times New Roman" w:hAnsi="Times New Roman" w:eastAsia="宋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8528" w:type="dxa"/>
            <w:gridSpan w:val="17"/>
            <w:tcBorders>
              <w:tl2br w:val="nil"/>
              <w:tr2bl w:val="nil"/>
            </w:tcBorders>
            <w:vAlign w:val="center"/>
          </w:tcPr>
          <w:p>
            <w:pPr>
              <w:adjustRightInd w:val="0"/>
              <w:snapToGrid w:val="0"/>
              <w:jc w:val="left"/>
              <w:rPr>
                <w:rFonts w:ascii="Times New Roman" w:hAnsi="Times New Roman" w:eastAsia="仿宋" w:cs="Times New Roman"/>
                <w:sz w:val="24"/>
                <w:szCs w:val="24"/>
              </w:rPr>
            </w:pPr>
            <w:r>
              <w:rPr>
                <w:rFonts w:ascii="Times New Roman" w:hAnsi="Times New Roman" w:eastAsia="仿宋" w:cs="Times New Roman"/>
                <w:sz w:val="24"/>
                <w:szCs w:val="24"/>
              </w:rPr>
              <w:t>注：类别是国际标准、国家标准、行业标准、企业标准。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表8：实验室专利申请、获得情况</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2419" w:type="dxa"/>
            <w:gridSpan w:val="4"/>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专利名称</w:t>
            </w:r>
          </w:p>
        </w:tc>
        <w:tc>
          <w:tcPr>
            <w:tcW w:w="1126"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授权号或申请号</w:t>
            </w:r>
          </w:p>
        </w:tc>
        <w:tc>
          <w:tcPr>
            <w:tcW w:w="1984"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发明人</w:t>
            </w:r>
          </w:p>
        </w:tc>
        <w:tc>
          <w:tcPr>
            <w:tcW w:w="1187"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专利权人</w:t>
            </w:r>
          </w:p>
        </w:tc>
        <w:tc>
          <w:tcPr>
            <w:tcW w:w="1112"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申请或授权时间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2419" w:type="dxa"/>
            <w:gridSpan w:val="4"/>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一种消化道撑开器</w:t>
            </w:r>
          </w:p>
        </w:tc>
        <w:tc>
          <w:tcPr>
            <w:tcW w:w="1126"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ZL201921827614.1</w:t>
            </w:r>
          </w:p>
        </w:tc>
        <w:tc>
          <w:tcPr>
            <w:tcW w:w="1984"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赵贵君，冯勇</w:t>
            </w:r>
          </w:p>
        </w:tc>
        <w:tc>
          <w:tcPr>
            <w:tcW w:w="1187"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内蒙古自治区人民医院</w:t>
            </w:r>
          </w:p>
        </w:tc>
        <w:tc>
          <w:tcPr>
            <w:tcW w:w="1112"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2020.07.14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2419" w:type="dxa"/>
            <w:gridSpan w:val="4"/>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一种食道扩张器</w:t>
            </w:r>
          </w:p>
        </w:tc>
        <w:tc>
          <w:tcPr>
            <w:tcW w:w="1126"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ZL201921827615.6</w:t>
            </w:r>
          </w:p>
        </w:tc>
        <w:tc>
          <w:tcPr>
            <w:tcW w:w="1984"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赵贵君，冯勇</w:t>
            </w:r>
          </w:p>
        </w:tc>
        <w:tc>
          <w:tcPr>
            <w:tcW w:w="1187"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内蒙古自治区人民医院</w:t>
            </w:r>
          </w:p>
        </w:tc>
        <w:tc>
          <w:tcPr>
            <w:tcW w:w="1112"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2020.07.14</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表9：实验室获奖情况（仅限科研成果奖励）</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722"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奖项名称</w:t>
            </w:r>
          </w:p>
        </w:tc>
        <w:tc>
          <w:tcPr>
            <w:tcW w:w="2298" w:type="dxa"/>
            <w:gridSpan w:val="5"/>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获得时间</w:t>
            </w:r>
          </w:p>
        </w:tc>
        <w:tc>
          <w:tcPr>
            <w:tcW w:w="1541" w:type="dxa"/>
            <w:gridSpan w:val="4"/>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获奖人</w:t>
            </w:r>
          </w:p>
        </w:tc>
        <w:tc>
          <w:tcPr>
            <w:tcW w:w="1703"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授予单位</w:t>
            </w:r>
          </w:p>
        </w:tc>
        <w:tc>
          <w:tcPr>
            <w:tcW w:w="1564"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级别</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722"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无</w:t>
            </w:r>
          </w:p>
        </w:tc>
        <w:tc>
          <w:tcPr>
            <w:tcW w:w="2298" w:type="dxa"/>
            <w:gridSpan w:val="5"/>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541" w:type="dxa"/>
            <w:gridSpan w:val="4"/>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703"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p>
        </w:tc>
        <w:tc>
          <w:tcPr>
            <w:tcW w:w="1564" w:type="dxa"/>
            <w:gridSpan w:val="3"/>
            <w:tcBorders>
              <w:tl2br w:val="nil"/>
              <w:tr2bl w:val="nil"/>
            </w:tcBorders>
            <w:vAlign w:val="center"/>
          </w:tcPr>
          <w:p>
            <w:pPr>
              <w:adjustRightInd w:val="0"/>
              <w:snapToGrid w:val="0"/>
              <w:jc w:val="center"/>
              <w:rPr>
                <w:rFonts w:ascii="Times New Roman" w:hAnsi="Times New Roman" w:eastAsia="宋体" w:cs="Times New Roman"/>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639"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表10：实验室新药证书或软件登记</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1613" w:type="dxa"/>
            <w:gridSpan w:val="3"/>
            <w:tcBorders>
              <w:tl2br w:val="nil"/>
              <w:tr2bl w:val="nil"/>
            </w:tcBorders>
            <w:vAlign w:val="bottom"/>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成果名称</w:t>
            </w:r>
          </w:p>
        </w:tc>
        <w:tc>
          <w:tcPr>
            <w:tcW w:w="1407" w:type="dxa"/>
            <w:gridSpan w:val="3"/>
            <w:tcBorders>
              <w:tl2br w:val="nil"/>
              <w:tr2bl w:val="nil"/>
            </w:tcBorders>
            <w:vAlign w:val="bottom"/>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成果登记号</w:t>
            </w:r>
          </w:p>
        </w:tc>
        <w:tc>
          <w:tcPr>
            <w:tcW w:w="1541" w:type="dxa"/>
            <w:gridSpan w:val="4"/>
            <w:tcBorders>
              <w:tl2br w:val="nil"/>
              <w:tr2bl w:val="nil"/>
            </w:tcBorders>
            <w:vAlign w:val="bottom"/>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成果类型</w:t>
            </w:r>
          </w:p>
        </w:tc>
        <w:tc>
          <w:tcPr>
            <w:tcW w:w="1703" w:type="dxa"/>
            <w:gridSpan w:val="3"/>
            <w:tcBorders>
              <w:tl2br w:val="nil"/>
              <w:tr2bl w:val="nil"/>
            </w:tcBorders>
            <w:vAlign w:val="bottom"/>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完成情况</w:t>
            </w:r>
          </w:p>
        </w:tc>
        <w:tc>
          <w:tcPr>
            <w:tcW w:w="1564" w:type="dxa"/>
            <w:gridSpan w:val="3"/>
            <w:tcBorders>
              <w:tl2br w:val="nil"/>
              <w:tr2bl w:val="nil"/>
            </w:tcBorders>
            <w:vAlign w:val="bottom"/>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完成人员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消化道异常判别软件V1.0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2019SR1417034</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李雪, 梁雄</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2</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下消化道内窥镜图像半自动标注软件V1.0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2019SR1417107</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梁雄, 李雪</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3</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下消化道内窥镜隆起型病变勾画软件V1.0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2020SR1270403</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李雪, 永光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4</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肠镜图像自动分选软件V1.0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2020SR1270386</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王柏涛, 刘雨莎</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5</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下消化道内窥镜计时软件V1.0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2020SR1270396</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朱虹, 郝姝卿</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6</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下消化道内窥镜影像实时分光染色软件V1.0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2020SR1270401</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梁雄, 白玉</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7</w:t>
            </w:r>
          </w:p>
        </w:tc>
        <w:tc>
          <w:tcPr>
            <w:tcW w:w="1613"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肠道录像管理软件V1.0</w:t>
            </w:r>
          </w:p>
        </w:tc>
        <w:tc>
          <w:tcPr>
            <w:tcW w:w="1407"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2020SR1270402</w:t>
            </w:r>
          </w:p>
        </w:tc>
        <w:tc>
          <w:tcPr>
            <w:tcW w:w="1541" w:type="dxa"/>
            <w:gridSpan w:val="4"/>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计算机软件著作权</w:t>
            </w:r>
          </w:p>
        </w:tc>
        <w:tc>
          <w:tcPr>
            <w:tcW w:w="1703" w:type="dxa"/>
            <w:gridSpan w:val="3"/>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已登记</w:t>
            </w:r>
          </w:p>
        </w:tc>
        <w:tc>
          <w:tcPr>
            <w:tcW w:w="1564" w:type="dxa"/>
            <w:gridSpan w:val="3"/>
            <w:tcBorders>
              <w:tl2br w:val="nil"/>
              <w:tr2bl w:val="nil"/>
            </w:tcBorders>
            <w:vAlign w:val="center"/>
          </w:tcPr>
          <w:p>
            <w:pPr>
              <w:widowControl/>
              <w:adjustRightInd w:val="0"/>
              <w:snapToGrid w:val="0"/>
              <w:jc w:val="left"/>
              <w:rPr>
                <w:rFonts w:ascii="Times New Roman" w:hAnsi="Times New Roman" w:eastAsia="宋体" w:cs="Times New Roman"/>
                <w:kern w:val="0"/>
                <w:sz w:val="24"/>
                <w:szCs w:val="24"/>
              </w:rPr>
            </w:pPr>
            <w:r>
              <w:rPr>
                <w:rFonts w:ascii="Times New Roman" w:hAnsi="Times New Roman" w:eastAsia="宋体" w:cs="Times New Roman"/>
                <w:kern w:val="0"/>
                <w:sz w:val="24"/>
                <w:szCs w:val="24"/>
              </w:rPr>
              <w:t>赵贵君, 贾明旭, 李昊</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宋体" w:cs="Times New Roman"/>
                <w:sz w:val="24"/>
                <w:szCs w:val="24"/>
              </w:rPr>
            </w:pPr>
            <w:r>
              <w:rPr>
                <w:rFonts w:ascii="Times New Roman" w:hAnsi="Times New Roman" w:eastAsia="黑体" w:cs="Times New Roman"/>
                <w:sz w:val="24"/>
                <w:szCs w:val="24"/>
              </w:rPr>
              <w:t>表11：实验室新产品、新技术、新工艺</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序号</w:t>
            </w:r>
          </w:p>
        </w:tc>
        <w:tc>
          <w:tcPr>
            <w:tcW w:w="1474" w:type="dxa"/>
            <w:gridSpan w:val="2"/>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名称</w:t>
            </w:r>
          </w:p>
        </w:tc>
        <w:tc>
          <w:tcPr>
            <w:tcW w:w="981"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类型</w:t>
            </w:r>
          </w:p>
        </w:tc>
        <w:tc>
          <w:tcPr>
            <w:tcW w:w="1412" w:type="dxa"/>
            <w:gridSpan w:val="3"/>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认定部门</w:t>
            </w:r>
          </w:p>
        </w:tc>
        <w:tc>
          <w:tcPr>
            <w:tcW w:w="1662" w:type="dxa"/>
            <w:gridSpan w:val="4"/>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认定日期</w:t>
            </w:r>
          </w:p>
        </w:tc>
        <w:tc>
          <w:tcPr>
            <w:tcW w:w="1161" w:type="dxa"/>
            <w:gridSpan w:val="2"/>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完成情况</w:t>
            </w:r>
          </w:p>
        </w:tc>
        <w:tc>
          <w:tcPr>
            <w:tcW w:w="1138" w:type="dxa"/>
            <w:gridSpan w:val="2"/>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完成人员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700" w:type="dxa"/>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ascii="Times New Roman" w:hAnsi="Times New Roman" w:eastAsia="宋体" w:cs="Times New Roman"/>
                <w:sz w:val="24"/>
                <w:szCs w:val="24"/>
              </w:rPr>
              <w:t>1</w:t>
            </w:r>
          </w:p>
        </w:tc>
        <w:tc>
          <w:tcPr>
            <w:tcW w:w="1474" w:type="dxa"/>
            <w:gridSpan w:val="2"/>
            <w:tcBorders>
              <w:tl2br w:val="nil"/>
              <w:tr2bl w:val="nil"/>
            </w:tcBorders>
            <w:vAlign w:val="bottom"/>
          </w:tcPr>
          <w:p>
            <w:pPr>
              <w:widowControl/>
              <w:adjustRightInd w:val="0"/>
              <w:snapToGrid w:val="0"/>
              <w:spacing w:line="353" w:lineRule="auto"/>
              <w:jc w:val="center"/>
              <w:rPr>
                <w:rFonts w:ascii="Times New Roman" w:hAnsi="Times New Roman" w:eastAsia="宋体" w:cs="Times New Roman"/>
                <w:kern w:val="0"/>
                <w:sz w:val="24"/>
                <w:szCs w:val="24"/>
              </w:rPr>
            </w:pPr>
            <w:r>
              <w:rPr>
                <w:rFonts w:hint="eastAsia" w:ascii="Times New Roman" w:hAnsi="Times New Roman" w:eastAsia="宋体" w:cs="Times New Roman"/>
                <w:kern w:val="0"/>
                <w:sz w:val="24"/>
                <w:szCs w:val="24"/>
              </w:rPr>
              <w:t>无</w:t>
            </w:r>
          </w:p>
        </w:tc>
        <w:tc>
          <w:tcPr>
            <w:tcW w:w="981" w:type="dxa"/>
            <w:gridSpan w:val="3"/>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412" w:type="dxa"/>
            <w:gridSpan w:val="3"/>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662" w:type="dxa"/>
            <w:gridSpan w:val="4"/>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161" w:type="dxa"/>
            <w:gridSpan w:val="2"/>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c>
          <w:tcPr>
            <w:tcW w:w="1138" w:type="dxa"/>
            <w:gridSpan w:val="2"/>
            <w:tcBorders>
              <w:tl2br w:val="nil"/>
              <w:tr2bl w:val="nil"/>
            </w:tcBorders>
            <w:vAlign w:val="bottom"/>
          </w:tcPr>
          <w:p>
            <w:pPr>
              <w:widowControl/>
              <w:adjustRightInd w:val="0"/>
              <w:snapToGrid w:val="0"/>
              <w:spacing w:line="353" w:lineRule="auto"/>
              <w:jc w:val="left"/>
              <w:rPr>
                <w:rFonts w:ascii="Times New Roman" w:hAnsi="Times New Roman" w:eastAsia="宋体" w:cs="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567" w:hRule="exact"/>
          <w:jc w:val="center"/>
        </w:trPr>
        <w:tc>
          <w:tcPr>
            <w:tcW w:w="8528" w:type="dxa"/>
            <w:gridSpan w:val="17"/>
            <w:tcBorders>
              <w:tl2br w:val="nil"/>
              <w:tr2bl w:val="nil"/>
            </w:tcBorders>
            <w:vAlign w:val="center"/>
          </w:tcPr>
          <w:p>
            <w:pPr>
              <w:adjustRightInd w:val="0"/>
              <w:snapToGrid w:val="0"/>
              <w:jc w:val="center"/>
              <w:outlineLvl w:val="0"/>
              <w:rPr>
                <w:rFonts w:ascii="Times New Roman" w:hAnsi="Times New Roman" w:eastAsia="黑体" w:cs="Times New Roman"/>
                <w:sz w:val="24"/>
                <w:szCs w:val="24"/>
              </w:rPr>
            </w:pPr>
            <w:r>
              <w:rPr>
                <w:rFonts w:ascii="Times New Roman" w:hAnsi="Times New Roman" w:eastAsia="黑体" w:cs="Times New Roman"/>
                <w:sz w:val="24"/>
                <w:szCs w:val="24"/>
              </w:rPr>
              <w:t>表12：实验室技术成果转化（逐个填写，表格可复制）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1422" w:type="dxa"/>
            <w:gridSpan w:val="2"/>
            <w:tcBorders>
              <w:tl2br w:val="nil"/>
              <w:tr2bl w:val="nil"/>
            </w:tcBorders>
            <w:vAlign w:val="center"/>
          </w:tcPr>
          <w:p>
            <w:pPr>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成果名称</w:t>
            </w:r>
          </w:p>
        </w:tc>
        <w:tc>
          <w:tcPr>
            <w:tcW w:w="7106" w:type="dxa"/>
            <w:gridSpan w:val="15"/>
            <w:tcBorders>
              <w:tl2br w:val="nil"/>
              <w:tr2bl w:val="nil"/>
            </w:tcBorders>
            <w:vAlign w:val="center"/>
          </w:tcPr>
          <w:p>
            <w:pPr>
              <w:adjustRightInd w:val="0"/>
              <w:snapToGrid w:val="0"/>
              <w:jc w:val="center"/>
              <w:rPr>
                <w:rFonts w:ascii="Times New Roman" w:hAnsi="Times New Roman" w:eastAsia="宋体" w:cs="Times New Roman"/>
                <w:sz w:val="24"/>
                <w:szCs w:val="24"/>
              </w:rPr>
            </w:pPr>
            <w:r>
              <w:rPr>
                <w:rFonts w:hint="eastAsia" w:ascii="Times New Roman" w:hAnsi="Times New Roman" w:eastAsia="宋体" w:cs="Times New Roman"/>
                <w:sz w:val="24"/>
                <w:szCs w:val="24"/>
              </w:rPr>
              <w:t>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1422" w:type="dxa"/>
            <w:gridSpan w:val="2"/>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b/>
                <w:sz w:val="24"/>
                <w:szCs w:val="24"/>
              </w:rPr>
              <w:t>成果类型</w:t>
            </w:r>
          </w:p>
        </w:tc>
        <w:tc>
          <w:tcPr>
            <w:tcW w:w="4807" w:type="dxa"/>
            <w:gridSpan w:val="11"/>
            <w:tcBorders>
              <w:tl2br w:val="nil"/>
              <w:tr2bl w:val="nil"/>
            </w:tcBorders>
            <w:vAlign w:val="center"/>
          </w:tcPr>
          <w:p>
            <w:pPr>
              <w:widowControl/>
              <w:adjustRightInd w:val="0"/>
              <w:snapToGrid w:val="0"/>
              <w:rPr>
                <w:rFonts w:ascii="Times New Roman" w:hAnsi="Times New Roman" w:eastAsia="宋体" w:cs="Times New Roman"/>
                <w:kern w:val="0"/>
                <w:sz w:val="24"/>
                <w:szCs w:val="24"/>
              </w:rPr>
            </w:pPr>
            <w:r>
              <w:rPr>
                <w:rFonts w:ascii="Times New Roman" w:hAnsi="Times New Roman" w:eastAsia="宋体" w:cs="Times New Roman"/>
                <w:b/>
                <w:sz w:val="24"/>
                <w:szCs w:val="24"/>
              </w:rPr>
              <w:t>A.新产品或新装备B.新技术或新工艺</w:t>
            </w:r>
          </w:p>
        </w:tc>
        <w:tc>
          <w:tcPr>
            <w:tcW w:w="2299" w:type="dxa"/>
            <w:gridSpan w:val="4"/>
            <w:tcBorders>
              <w:tl2br w:val="nil"/>
              <w:tr2bl w:val="nil"/>
            </w:tcBorders>
            <w:vAlign w:val="center"/>
          </w:tcPr>
          <w:p>
            <w:pPr>
              <w:widowControl/>
              <w:adjustRightInd w:val="0"/>
              <w:snapToGrid w:val="0"/>
              <w:rPr>
                <w:rFonts w:ascii="Times New Roman" w:hAnsi="Times New Roman" w:eastAsia="宋体" w:cs="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1422" w:type="dxa"/>
            <w:gridSpan w:val="2"/>
            <w:tcBorders>
              <w:tl2br w:val="nil"/>
              <w:tr2bl w:val="nil"/>
            </w:tcBorders>
            <w:vAlign w:val="center"/>
          </w:tcPr>
          <w:p>
            <w:pPr>
              <w:widowControl/>
              <w:adjustRightInd w:val="0"/>
              <w:snapToGrid w:val="0"/>
              <w:jc w:val="center"/>
              <w:rPr>
                <w:rFonts w:ascii="Times New Roman" w:hAnsi="Times New Roman" w:eastAsia="宋体" w:cs="Times New Roman"/>
                <w:b/>
                <w:sz w:val="24"/>
                <w:szCs w:val="24"/>
              </w:rPr>
            </w:pPr>
            <w:r>
              <w:rPr>
                <w:rFonts w:ascii="Times New Roman" w:hAnsi="Times New Roman" w:eastAsia="宋体" w:cs="Times New Roman"/>
                <w:b/>
                <w:sz w:val="24"/>
                <w:szCs w:val="24"/>
              </w:rPr>
              <w:t>完成人员</w:t>
            </w:r>
          </w:p>
        </w:tc>
        <w:tc>
          <w:tcPr>
            <w:tcW w:w="7106" w:type="dxa"/>
            <w:gridSpan w:val="15"/>
            <w:tcBorders>
              <w:tl2br w:val="nil"/>
              <w:tr2bl w:val="nil"/>
            </w:tcBorders>
            <w:vAlign w:val="center"/>
          </w:tcPr>
          <w:p>
            <w:pPr>
              <w:widowControl/>
              <w:adjustRightInd w:val="0"/>
              <w:snapToGrid w:val="0"/>
              <w:spacing w:line="353" w:lineRule="auto"/>
              <w:jc w:val="center"/>
              <w:rPr>
                <w:rFonts w:ascii="Times New Roman" w:hAnsi="Times New Roman" w:eastAsia="宋体" w:cs="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1422" w:type="dxa"/>
            <w:gridSpan w:val="2"/>
            <w:tcBorders>
              <w:tl2br w:val="nil"/>
              <w:tr2bl w:val="nil"/>
            </w:tcBorders>
            <w:vAlign w:val="center"/>
          </w:tcPr>
          <w:p>
            <w:pPr>
              <w:widowControl/>
              <w:adjustRightInd w:val="0"/>
              <w:snapToGrid w:val="0"/>
              <w:jc w:val="center"/>
              <w:rPr>
                <w:rFonts w:ascii="Times New Roman" w:hAnsi="Times New Roman" w:eastAsia="宋体" w:cs="Times New Roman"/>
                <w:kern w:val="0"/>
                <w:sz w:val="24"/>
                <w:szCs w:val="24"/>
              </w:rPr>
            </w:pPr>
            <w:r>
              <w:rPr>
                <w:rFonts w:ascii="Times New Roman" w:hAnsi="Times New Roman" w:eastAsia="宋体" w:cs="Times New Roman"/>
                <w:b/>
                <w:sz w:val="24"/>
                <w:szCs w:val="24"/>
              </w:rPr>
              <w:t>转化企业</w:t>
            </w:r>
          </w:p>
        </w:tc>
        <w:tc>
          <w:tcPr>
            <w:tcW w:w="3640" w:type="dxa"/>
            <w:gridSpan w:val="8"/>
            <w:tcBorders>
              <w:tl2br w:val="nil"/>
              <w:tr2bl w:val="nil"/>
            </w:tcBorders>
            <w:vAlign w:val="center"/>
          </w:tcPr>
          <w:p>
            <w:pPr>
              <w:widowControl/>
              <w:adjustRightInd w:val="0"/>
              <w:snapToGrid w:val="0"/>
              <w:spacing w:line="353" w:lineRule="auto"/>
              <w:jc w:val="center"/>
              <w:rPr>
                <w:rFonts w:ascii="Times New Roman" w:hAnsi="Times New Roman" w:eastAsia="宋体" w:cs="Times New Roman"/>
                <w:kern w:val="0"/>
                <w:sz w:val="24"/>
                <w:szCs w:val="24"/>
              </w:rPr>
            </w:pPr>
          </w:p>
        </w:tc>
        <w:tc>
          <w:tcPr>
            <w:tcW w:w="1167" w:type="dxa"/>
            <w:gridSpan w:val="3"/>
            <w:tcBorders>
              <w:tl2br w:val="nil"/>
              <w:tr2bl w:val="nil"/>
            </w:tcBorders>
            <w:vAlign w:val="center"/>
          </w:tcPr>
          <w:p>
            <w:pPr>
              <w:widowControl/>
              <w:adjustRightInd w:val="0"/>
              <w:snapToGrid w:val="0"/>
              <w:spacing w:line="353" w:lineRule="auto"/>
              <w:jc w:val="center"/>
              <w:rPr>
                <w:rFonts w:ascii="Times New Roman" w:hAnsi="Times New Roman" w:eastAsia="宋体" w:cs="Times New Roman"/>
                <w:kern w:val="0"/>
                <w:sz w:val="24"/>
                <w:szCs w:val="24"/>
              </w:rPr>
            </w:pPr>
            <w:r>
              <w:rPr>
                <w:rFonts w:ascii="Times New Roman" w:hAnsi="Times New Roman" w:eastAsia="宋体" w:cs="Times New Roman"/>
                <w:b/>
                <w:sz w:val="24"/>
                <w:szCs w:val="24"/>
              </w:rPr>
              <w:t>转化收入(万元)</w:t>
            </w:r>
          </w:p>
        </w:tc>
        <w:tc>
          <w:tcPr>
            <w:tcW w:w="2299" w:type="dxa"/>
            <w:gridSpan w:val="4"/>
            <w:tcBorders>
              <w:tl2br w:val="nil"/>
              <w:tr2bl w:val="nil"/>
            </w:tcBorders>
            <w:vAlign w:val="center"/>
          </w:tcPr>
          <w:p>
            <w:pPr>
              <w:widowControl/>
              <w:adjustRightInd w:val="0"/>
              <w:snapToGrid w:val="0"/>
              <w:spacing w:line="353" w:lineRule="auto"/>
              <w:jc w:val="center"/>
              <w:rPr>
                <w:rFonts w:ascii="Times New Roman" w:hAnsi="Times New Roman" w:eastAsia="宋体" w:cs="Times New Roman"/>
                <w:kern w:val="0"/>
                <w:sz w:val="24"/>
                <w:szCs w:val="24"/>
              </w:rPr>
            </w:pP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57" w:type="dxa"/>
            <w:left w:w="57" w:type="dxa"/>
            <w:bottom w:w="57" w:type="dxa"/>
            <w:right w:w="57" w:type="dxa"/>
          </w:tblCellMar>
        </w:tblPrEx>
        <w:trPr>
          <w:trHeight w:val="170" w:hRule="atLeast"/>
          <w:jc w:val="center"/>
        </w:trPr>
        <w:tc>
          <w:tcPr>
            <w:tcW w:w="8528" w:type="dxa"/>
            <w:gridSpan w:val="17"/>
            <w:tcBorders>
              <w:tl2br w:val="nil"/>
              <w:tr2bl w:val="nil"/>
            </w:tcBorders>
            <w:vAlign w:val="center"/>
          </w:tcPr>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简述该成果的行业、技术水平，转化程度和应用范围，对行业/产业技术进步和结构调整发挥的作用，转化产生的经济和社会效益等。</w:t>
            </w:r>
          </w:p>
          <w:p>
            <w:pPr>
              <w:spacing w:before="240" w:after="240"/>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实验室评估基准时间内（</w:t>
            </w:r>
            <w:r>
              <w:rPr>
                <w:rFonts w:ascii="Times New Roman" w:hAnsi="Times New Roman" w:eastAsia="仿宋" w:cs="Times New Roman"/>
                <w:sz w:val="24"/>
                <w:szCs w:val="24"/>
              </w:rPr>
              <w:t>2018年1月1日到2020年12月31日）</w:t>
            </w:r>
            <w:r>
              <w:rPr>
                <w:rFonts w:hint="eastAsia" w:ascii="Times New Roman" w:hAnsi="Times New Roman" w:eastAsia="仿宋" w:cs="Times New Roman"/>
                <w:sz w:val="24"/>
                <w:szCs w:val="24"/>
              </w:rPr>
              <w:t>取得的2项标志性成果亮相</w:t>
            </w:r>
            <w:r>
              <w:rPr>
                <w:rFonts w:ascii="Times New Roman" w:hAnsi="Times New Roman" w:eastAsia="仿宋" w:cs="Times New Roman"/>
                <w:sz w:val="24"/>
                <w:szCs w:val="24"/>
              </w:rPr>
              <w:t>2019年全区科技成果转移转化对接大会，为后续的技术成果转让做好准备</w:t>
            </w:r>
            <w:r>
              <w:rPr>
                <w:rFonts w:hint="eastAsia" w:ascii="Times New Roman" w:hAnsi="Times New Roman" w:eastAsia="仿宋" w:cs="Times New Roman"/>
                <w:sz w:val="24"/>
                <w:szCs w:val="24"/>
              </w:rPr>
              <w:t>。</w:t>
            </w:r>
            <w:r>
              <w:rPr>
                <w:rFonts w:hint="eastAsia" w:ascii="Times New Roman" w:hAnsi="Times New Roman" w:eastAsia="仿宋" w:cs="Times New Roman"/>
                <w:b/>
                <w:sz w:val="24"/>
                <w:szCs w:val="24"/>
              </w:rPr>
              <w:t>目前，已经在</w:t>
            </w:r>
            <w:r>
              <w:rPr>
                <w:rFonts w:ascii="Times New Roman" w:hAnsi="Times New Roman" w:eastAsia="仿宋" w:cs="Times New Roman"/>
                <w:b/>
                <w:sz w:val="24"/>
                <w:szCs w:val="24"/>
              </w:rPr>
              <w:t>2021.4.28成功转让。</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四</w:t>
      </w:r>
      <w:r>
        <w:rPr>
          <w:rFonts w:ascii="Times New Roman" w:hAnsi="Times New Roman" w:eastAsia="黑体" w:cs="Times New Roman"/>
          <w:kern w:val="0"/>
          <w:sz w:val="28"/>
          <w:szCs w:val="20"/>
        </w:rPr>
        <w:t>、</w:t>
      </w:r>
      <w:r>
        <w:rPr>
          <w:rFonts w:hint="eastAsia" w:ascii="Times New Roman" w:hAnsi="Times New Roman" w:eastAsia="黑体" w:cs="Times New Roman"/>
          <w:kern w:val="0"/>
          <w:sz w:val="28"/>
          <w:szCs w:val="20"/>
        </w:rPr>
        <w:t>团队建设与人才培养</w:t>
      </w:r>
    </w:p>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1.实验室主任和学术带头人</w:t>
      </w:r>
    </w:p>
    <w:tbl>
      <w:tblPr>
        <w:tblStyle w:val="13"/>
        <w:tblW w:w="852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7" w:type="dxa"/>
          </w:tcPr>
          <w:p>
            <w:pPr>
              <w:ind w:firstLine="480" w:firstLineChars="200"/>
              <w:rPr>
                <w:rFonts w:ascii="仿宋" w:hAnsi="仿宋" w:eastAsia="仿宋" w:cs="仿宋"/>
                <w:sz w:val="24"/>
                <w:szCs w:val="24"/>
              </w:rPr>
            </w:pPr>
            <w:r>
              <w:rPr>
                <w:rFonts w:hint="eastAsia" w:ascii="仿宋" w:hAnsi="仿宋" w:eastAsia="仿宋" w:cs="仿宋"/>
                <w:sz w:val="24"/>
                <w:szCs w:val="24"/>
              </w:rPr>
              <w:t>简要介绍实验室主任和各方向学术带头人在行业/领域内的影响力，加入实验室的时间，在实验室投入精力情况和作用发挥情况。</w:t>
            </w:r>
          </w:p>
          <w:p>
            <w:pPr>
              <w:spacing w:before="240"/>
              <w:ind w:firstLine="480" w:firstLineChars="200"/>
              <w:rPr>
                <w:rFonts w:ascii="仿宋" w:hAnsi="仿宋" w:eastAsia="仿宋" w:cs="仿宋"/>
                <w:sz w:val="24"/>
                <w:szCs w:val="24"/>
              </w:rPr>
            </w:pPr>
            <w:r>
              <w:rPr>
                <w:rFonts w:ascii="仿宋" w:hAnsi="仿宋" w:eastAsia="仿宋" w:cs="仿宋"/>
                <w:sz w:val="24"/>
                <w:szCs w:val="24"/>
              </w:rPr>
              <w:fldChar w:fldCharType="begin"/>
            </w:r>
            <w:r>
              <w:rPr>
                <w:rFonts w:ascii="仿宋" w:hAnsi="仿宋" w:eastAsia="仿宋" w:cs="仿宋"/>
                <w:sz w:val="24"/>
                <w:szCs w:val="24"/>
              </w:rPr>
              <w:instrText xml:space="preserve"> </w:instrText>
            </w:r>
            <w:r>
              <w:rPr>
                <w:rFonts w:hint="eastAsia" w:ascii="仿宋" w:hAnsi="仿宋" w:eastAsia="仿宋" w:cs="仿宋"/>
                <w:sz w:val="24"/>
                <w:szCs w:val="24"/>
              </w:rPr>
              <w:instrText xml:space="preserve">= 1 \* GB2</w:instrText>
            </w:r>
            <w:r>
              <w:rPr>
                <w:rFonts w:ascii="仿宋" w:hAnsi="仿宋" w:eastAsia="仿宋" w:cs="仿宋"/>
                <w:sz w:val="24"/>
                <w:szCs w:val="24"/>
              </w:rPr>
              <w:instrText xml:space="preserve"> </w:instrText>
            </w:r>
            <w:r>
              <w:rPr>
                <w:rFonts w:ascii="仿宋" w:hAnsi="仿宋" w:eastAsia="仿宋" w:cs="仿宋"/>
                <w:sz w:val="24"/>
                <w:szCs w:val="24"/>
              </w:rPr>
              <w:fldChar w:fldCharType="separate"/>
            </w:r>
            <w:r>
              <w:rPr>
                <w:rFonts w:hint="eastAsia" w:ascii="仿宋" w:hAnsi="仿宋" w:eastAsia="仿宋" w:cs="仿宋"/>
                <w:sz w:val="24"/>
                <w:szCs w:val="24"/>
              </w:rPr>
              <w:t>⑴</w:t>
            </w:r>
            <w:r>
              <w:rPr>
                <w:rFonts w:ascii="仿宋" w:hAnsi="仿宋" w:eastAsia="仿宋" w:cs="仿宋"/>
                <w:sz w:val="24"/>
                <w:szCs w:val="24"/>
              </w:rPr>
              <w:fldChar w:fldCharType="end"/>
            </w:r>
            <w:r>
              <w:rPr>
                <w:rFonts w:ascii="仿宋" w:hAnsi="仿宋" w:eastAsia="仿宋" w:cs="仿宋"/>
                <w:sz w:val="24"/>
                <w:szCs w:val="24"/>
              </w:rPr>
              <w:t xml:space="preserve"> </w:t>
            </w:r>
            <w:r>
              <w:rPr>
                <w:rFonts w:hint="eastAsia" w:ascii="仿宋" w:hAnsi="仿宋" w:eastAsia="仿宋" w:cs="仿宋"/>
                <w:sz w:val="24"/>
                <w:szCs w:val="24"/>
              </w:rPr>
              <w:t>研发消化内镜人工智能辅助诊断系统和</w:t>
            </w:r>
            <w:r>
              <w:rPr>
                <w:rFonts w:ascii="仿宋" w:hAnsi="仿宋" w:eastAsia="仿宋" w:cs="仿宋"/>
                <w:sz w:val="24"/>
                <w:szCs w:val="24"/>
              </w:rPr>
              <w:t>内镜消化疾病研究相关人才的培养方式研究</w:t>
            </w:r>
            <w:r>
              <w:rPr>
                <w:rFonts w:hint="eastAsia" w:ascii="仿宋" w:hAnsi="仿宋" w:eastAsia="仿宋" w:cs="仿宋"/>
                <w:sz w:val="24"/>
                <w:szCs w:val="24"/>
              </w:rPr>
              <w:t xml:space="preserve">  实验室主任/学术带头人</w:t>
            </w:r>
          </w:p>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赵贵君，</w:t>
            </w:r>
            <w:r>
              <w:rPr>
                <w:rFonts w:hint="eastAsia" w:ascii="Times New Roman" w:hAnsi="Times New Roman" w:eastAsia="仿宋" w:cs="Times New Roman"/>
                <w:sz w:val="24"/>
                <w:szCs w:val="24"/>
              </w:rPr>
              <w:t>博士，主任医师，消化内科学及内镜学专业。</w:t>
            </w:r>
          </w:p>
          <w:p>
            <w:pPr>
              <w:ind w:firstLine="480" w:firstLineChars="200"/>
              <w:rPr>
                <w:rFonts w:ascii="Times New Roman" w:hAnsi="Times New Roman" w:eastAsia="仿宋" w:cs="Times New Roman"/>
                <w:sz w:val="24"/>
                <w:szCs w:val="24"/>
              </w:rPr>
            </w:pPr>
            <w:r>
              <w:rPr>
                <w:rFonts w:hint="eastAsia" w:ascii="Times New Roman" w:hAnsi="Times New Roman" w:eastAsia="仿宋" w:cs="Times New Roman"/>
                <w:sz w:val="24"/>
                <w:szCs w:val="24"/>
              </w:rPr>
              <w:t>内蒙古自治区人民医院内镜中心主任，内蒙古自治区内镜消化疾病重点实验室主任。内蒙古自治区消化疾病院士专家（沈祖尧）工作站负责人，国家消化系统疾病临床医学研究中心</w:t>
            </w:r>
            <w:r>
              <w:rPr>
                <w:rFonts w:ascii="Times New Roman" w:hAnsi="Times New Roman" w:eastAsia="仿宋" w:cs="Times New Roman"/>
                <w:sz w:val="24"/>
                <w:szCs w:val="24"/>
              </w:rPr>
              <w:t>-内蒙古自治区人民医院分中心主任。曾香港中文大学医学院消化系统疾病研究所博士访问学者及威尔亲王医院内镜中心受训并成为独立值班内镜医生。内蒙古自治区草原英才创新团队带头人，内蒙古自治区</w:t>
            </w:r>
            <w:r>
              <w:rPr>
                <w:rFonts w:hint="eastAsia" w:ascii="Times New Roman" w:hAnsi="Times New Roman" w:eastAsia="仿宋" w:cs="Times New Roman"/>
                <w:sz w:val="24"/>
                <w:szCs w:val="24"/>
              </w:rPr>
              <w:t>“</w:t>
            </w:r>
            <w:r>
              <w:rPr>
                <w:rFonts w:ascii="Times New Roman" w:hAnsi="Times New Roman" w:eastAsia="仿宋" w:cs="Times New Roman"/>
                <w:sz w:val="24"/>
                <w:szCs w:val="24"/>
              </w:rPr>
              <w:t>草原英才</w:t>
            </w:r>
            <w:r>
              <w:rPr>
                <w:rFonts w:hint="eastAsia" w:ascii="Times New Roman" w:hAnsi="Times New Roman" w:eastAsia="仿宋" w:cs="Times New Roman"/>
                <w:sz w:val="24"/>
                <w:szCs w:val="24"/>
              </w:rPr>
              <w:t>”</w:t>
            </w:r>
            <w:r>
              <w:rPr>
                <w:rFonts w:ascii="Times New Roman" w:hAnsi="Times New Roman" w:eastAsia="仿宋" w:cs="Times New Roman"/>
                <w:sz w:val="24"/>
                <w:szCs w:val="24"/>
              </w:rPr>
              <w:t>，内蒙古自治区321人才工程第一层次。</w:t>
            </w:r>
            <w:r>
              <w:rPr>
                <w:rFonts w:hint="eastAsia" w:ascii="Times New Roman" w:hAnsi="Times New Roman" w:eastAsia="仿宋" w:cs="Times New Roman"/>
                <w:sz w:val="24"/>
                <w:szCs w:val="24"/>
              </w:rPr>
              <w:t>中华医学会消化内镜学分会委员，中华医学会消化内镜学分会内痔协作组副组长，中华医学会消化内镜学分会结直肠学组委员，中国抗癌协会肿瘤内镜专业委员会委员，中国抗癌协会胃癌专业委员会内镜学组委员，内蒙古医学会消化内镜学分会副主任委员，内蒙古医师协会消化内镜分会会长，</w:t>
            </w:r>
            <w:r>
              <w:rPr>
                <w:rFonts w:ascii="Times New Roman" w:hAnsi="Times New Roman" w:eastAsia="仿宋" w:cs="Times New Roman"/>
                <w:sz w:val="24"/>
                <w:szCs w:val="24"/>
              </w:rPr>
              <w:t>Endoscopic Ultrasound编委。在GUT、JCI、BJC、HEPATOLOGY、GASTROENTEROLOGY等医学期刊发表SCI论文6篇，总影响因子43；主持国家自然科学基金项目</w:t>
            </w:r>
            <w:r>
              <w:rPr>
                <w:rFonts w:hint="eastAsia" w:ascii="Times New Roman" w:hAnsi="Times New Roman" w:eastAsia="仿宋" w:cs="Times New Roman"/>
                <w:sz w:val="24"/>
                <w:szCs w:val="24"/>
              </w:rPr>
              <w:t>2</w:t>
            </w:r>
            <w:r>
              <w:rPr>
                <w:rFonts w:ascii="Times New Roman" w:hAnsi="Times New Roman" w:eastAsia="仿宋" w:cs="Times New Roman"/>
                <w:sz w:val="24"/>
                <w:szCs w:val="24"/>
              </w:rPr>
              <w:t>项</w:t>
            </w:r>
            <w:r>
              <w:rPr>
                <w:rFonts w:hint="eastAsia" w:ascii="Times New Roman" w:hAnsi="Times New Roman" w:eastAsia="仿宋" w:cs="Times New Roman"/>
                <w:sz w:val="24"/>
                <w:szCs w:val="24"/>
              </w:rPr>
              <w:t>和省部级科研项目3项，</w:t>
            </w:r>
            <w:r>
              <w:rPr>
                <w:rFonts w:ascii="Times New Roman" w:hAnsi="Times New Roman" w:eastAsia="仿宋" w:cs="Times New Roman"/>
                <w:sz w:val="24"/>
                <w:szCs w:val="24"/>
              </w:rPr>
              <w:t>国际合作项目</w:t>
            </w:r>
            <w:r>
              <w:rPr>
                <w:rFonts w:hint="eastAsia" w:ascii="Times New Roman" w:hAnsi="Times New Roman" w:eastAsia="仿宋" w:cs="Times New Roman"/>
                <w:sz w:val="24"/>
                <w:szCs w:val="24"/>
              </w:rPr>
              <w:t>2项</w:t>
            </w:r>
            <w:r>
              <w:rPr>
                <w:rFonts w:ascii="Times New Roman" w:hAnsi="Times New Roman" w:eastAsia="仿宋" w:cs="Times New Roman"/>
                <w:sz w:val="24"/>
                <w:szCs w:val="24"/>
              </w:rPr>
              <w:t>。</w:t>
            </w:r>
          </w:p>
          <w:p>
            <w:pPr>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2014年11月成立内镜中心，任命赵贵君博士为中心主任</w:t>
            </w:r>
            <w:r>
              <w:rPr>
                <w:rFonts w:hint="eastAsia" w:ascii="Times New Roman" w:hAnsi="Times New Roman" w:eastAsia="仿宋" w:cs="Times New Roman"/>
                <w:sz w:val="24"/>
                <w:szCs w:val="24"/>
              </w:rPr>
              <w:t>。</w:t>
            </w:r>
            <w:r>
              <w:rPr>
                <w:rFonts w:ascii="Times New Roman" w:hAnsi="Times New Roman" w:eastAsia="仿宋" w:cs="Times New Roman"/>
                <w:sz w:val="24"/>
                <w:szCs w:val="24"/>
              </w:rPr>
              <w:t>2016年12月</w:t>
            </w:r>
            <w:r>
              <w:rPr>
                <w:rFonts w:hint="eastAsia" w:ascii="Times New Roman" w:hAnsi="Times New Roman" w:eastAsia="仿宋" w:cs="Times New Roman"/>
                <w:sz w:val="24"/>
                <w:szCs w:val="24"/>
              </w:rPr>
              <w:t>，内蒙古自治区内镜消化疾病重点实验室</w:t>
            </w:r>
            <w:r>
              <w:rPr>
                <w:rFonts w:ascii="Times New Roman" w:hAnsi="Times New Roman" w:eastAsia="仿宋" w:cs="Times New Roman"/>
                <w:sz w:val="24"/>
                <w:szCs w:val="24"/>
              </w:rPr>
              <w:t>经批准建立，</w:t>
            </w:r>
            <w:r>
              <w:rPr>
                <w:rFonts w:hint="eastAsia" w:ascii="Times New Roman" w:hAnsi="Times New Roman" w:eastAsia="仿宋" w:cs="Times New Roman"/>
                <w:sz w:val="24"/>
                <w:szCs w:val="24"/>
              </w:rPr>
              <w:t>任命赵贵君博士为内蒙古自治区内镜消化疾病重点实验室主任，全面主持实验室</w:t>
            </w:r>
            <w:r>
              <w:rPr>
                <w:rFonts w:ascii="Times New Roman" w:hAnsi="Times New Roman" w:eastAsia="仿宋" w:cs="Times New Roman"/>
                <w:sz w:val="24"/>
                <w:szCs w:val="24"/>
              </w:rPr>
              <w:t>各项工作</w:t>
            </w:r>
            <w:r>
              <w:rPr>
                <w:rFonts w:hint="eastAsia" w:ascii="Times New Roman" w:hAnsi="Times New Roman" w:eastAsia="仿宋" w:cs="Times New Roman"/>
                <w:sz w:val="24"/>
                <w:szCs w:val="24"/>
              </w:rPr>
              <w:t>。每年在实验室工作时间不少于</w:t>
            </w:r>
            <w:r>
              <w:rPr>
                <w:rFonts w:ascii="Times New Roman" w:hAnsi="Times New Roman" w:eastAsia="仿宋" w:cs="Times New Roman"/>
                <w:sz w:val="24"/>
                <w:szCs w:val="24"/>
              </w:rPr>
              <w:t>8个月。</w:t>
            </w:r>
            <w:r>
              <w:rPr>
                <w:rFonts w:hint="eastAsia" w:ascii="Times New Roman" w:hAnsi="Times New Roman" w:eastAsia="仿宋" w:cs="Times New Roman"/>
                <w:sz w:val="24"/>
                <w:szCs w:val="24"/>
              </w:rPr>
              <w:t>主要工作事项包括负责</w:t>
            </w:r>
            <w:r>
              <w:rPr>
                <w:rFonts w:ascii="Times New Roman" w:hAnsi="Times New Roman" w:eastAsia="仿宋" w:cs="Times New Roman"/>
                <w:sz w:val="24"/>
                <w:szCs w:val="24"/>
              </w:rPr>
              <w:t>实验室</w:t>
            </w:r>
            <w:r>
              <w:rPr>
                <w:rFonts w:hint="eastAsia" w:ascii="Times New Roman" w:hAnsi="Times New Roman" w:eastAsia="仿宋" w:cs="Times New Roman"/>
                <w:sz w:val="24"/>
                <w:szCs w:val="24"/>
              </w:rPr>
              <w:t>基础条件</w:t>
            </w:r>
            <w:r>
              <w:rPr>
                <w:rFonts w:ascii="Times New Roman" w:hAnsi="Times New Roman" w:eastAsia="仿宋" w:cs="Times New Roman"/>
                <w:sz w:val="24"/>
                <w:szCs w:val="24"/>
              </w:rPr>
              <w:t>建设与</w:t>
            </w:r>
            <w:r>
              <w:rPr>
                <w:rFonts w:hint="eastAsia" w:ascii="Times New Roman" w:hAnsi="Times New Roman" w:eastAsia="仿宋" w:cs="Times New Roman"/>
                <w:sz w:val="24"/>
                <w:szCs w:val="24"/>
              </w:rPr>
              <w:t>总体发展规划，组织制定实验室建设计划；负责实验室组织制度建立与实施，建立健全实验室管理运行机制和人才培养机制；负责召开学术委员会、组织学术交流活动；负责组织申报各级各类科研项目，争取科研经费以及研究成果的转化和推广等。积极组织贯彻上级机关有关实验室工作的方针、政策和规定，带领团队积极开展基础和临床科研研究，是消化内镜人工智能辅助诊断系统研发和内镜消化疾病研究相关人才培养方向上的学术带头人。</w:t>
            </w:r>
          </w:p>
          <w:p>
            <w:pPr>
              <w:ind w:firstLine="480" w:firstLineChars="200"/>
              <w:rPr>
                <w:rFonts w:ascii="Times New Roman" w:hAnsi="Times New Roman" w:eastAsia="仿宋" w:cs="Times New Roman"/>
                <w:sz w:val="24"/>
                <w:szCs w:val="24"/>
              </w:rPr>
            </w:pPr>
            <w:r>
              <w:rPr>
                <w:rFonts w:ascii="仿宋" w:hAnsi="仿宋" w:eastAsia="仿宋" w:cs="仿宋"/>
                <w:sz w:val="24"/>
                <w:szCs w:val="24"/>
              </w:rPr>
              <w:fldChar w:fldCharType="begin"/>
            </w:r>
            <w:r>
              <w:rPr>
                <w:rFonts w:ascii="仿宋" w:hAnsi="仿宋" w:eastAsia="仿宋" w:cs="仿宋"/>
                <w:sz w:val="24"/>
                <w:szCs w:val="24"/>
              </w:rPr>
              <w:instrText xml:space="preserve"> </w:instrText>
            </w:r>
            <w:r>
              <w:rPr>
                <w:rFonts w:hint="eastAsia" w:ascii="仿宋" w:hAnsi="仿宋" w:eastAsia="仿宋" w:cs="仿宋"/>
                <w:sz w:val="24"/>
                <w:szCs w:val="24"/>
              </w:rPr>
              <w:instrText xml:space="preserve">= 2 \* GB2</w:instrText>
            </w:r>
            <w:r>
              <w:rPr>
                <w:rFonts w:ascii="仿宋" w:hAnsi="仿宋" w:eastAsia="仿宋" w:cs="仿宋"/>
                <w:sz w:val="24"/>
                <w:szCs w:val="24"/>
              </w:rPr>
              <w:instrText xml:space="preserve"> </w:instrText>
            </w:r>
            <w:r>
              <w:rPr>
                <w:rFonts w:ascii="仿宋" w:hAnsi="仿宋" w:eastAsia="仿宋" w:cs="仿宋"/>
                <w:sz w:val="24"/>
                <w:szCs w:val="24"/>
              </w:rPr>
              <w:fldChar w:fldCharType="separate"/>
            </w:r>
            <w:r>
              <w:rPr>
                <w:rFonts w:hint="eastAsia" w:ascii="仿宋" w:hAnsi="仿宋" w:eastAsia="仿宋" w:cs="仿宋"/>
                <w:sz w:val="24"/>
                <w:szCs w:val="24"/>
              </w:rPr>
              <w:t>⑵</w:t>
            </w:r>
            <w:r>
              <w:rPr>
                <w:rFonts w:ascii="仿宋" w:hAnsi="仿宋" w:eastAsia="仿宋" w:cs="仿宋"/>
                <w:sz w:val="24"/>
                <w:szCs w:val="24"/>
              </w:rPr>
              <w:fldChar w:fldCharType="end"/>
            </w:r>
            <w:r>
              <w:rPr>
                <w:rFonts w:ascii="仿宋" w:hAnsi="仿宋" w:eastAsia="仿宋" w:cs="仿宋"/>
                <w:sz w:val="24"/>
                <w:szCs w:val="24"/>
              </w:rPr>
              <w:t xml:space="preserve"> </w:t>
            </w:r>
            <w:r>
              <w:rPr>
                <w:rFonts w:hint="eastAsia" w:ascii="Times New Roman" w:hAnsi="Times New Roman" w:eastAsia="仿宋" w:cs="Times New Roman"/>
                <w:sz w:val="24"/>
                <w:szCs w:val="24"/>
              </w:rPr>
              <w:t xml:space="preserve">常见消化系统肿瘤发病机理研究  </w:t>
            </w:r>
            <w:r>
              <w:rPr>
                <w:rFonts w:hint="eastAsia" w:ascii="仿宋" w:hAnsi="仿宋" w:eastAsia="仿宋" w:cs="仿宋"/>
                <w:sz w:val="24"/>
                <w:szCs w:val="24"/>
              </w:rPr>
              <w:t>学术带头人</w:t>
            </w:r>
          </w:p>
          <w:p>
            <w:pPr>
              <w:spacing w:after="240"/>
              <w:ind w:firstLine="480" w:firstLineChars="200"/>
              <w:rPr>
                <w:rFonts w:ascii="Times New Roman" w:hAnsi="Times New Roman" w:eastAsia="仿宋" w:cs="Times New Roman"/>
                <w:sz w:val="24"/>
                <w:szCs w:val="24"/>
              </w:rPr>
            </w:pPr>
            <w:r>
              <w:rPr>
                <w:rFonts w:ascii="Times New Roman" w:hAnsi="Times New Roman" w:eastAsia="仿宋" w:cs="Times New Roman"/>
                <w:sz w:val="24"/>
                <w:szCs w:val="24"/>
              </w:rPr>
              <w:t>王举，博士，主任医师，普通外科专业。内蒙古自治区人民医院普外科主任，胃肠外科主任。滚动支持计划</w:t>
            </w:r>
            <w:r>
              <w:rPr>
                <w:rFonts w:hint="eastAsia" w:ascii="Times New Roman" w:hAnsi="Times New Roman" w:eastAsia="仿宋" w:cs="Times New Roman"/>
                <w:sz w:val="24"/>
                <w:szCs w:val="24"/>
              </w:rPr>
              <w:t>“</w:t>
            </w:r>
            <w:r>
              <w:rPr>
                <w:rFonts w:ascii="Times New Roman" w:hAnsi="Times New Roman" w:eastAsia="仿宋" w:cs="Times New Roman"/>
                <w:sz w:val="24"/>
                <w:szCs w:val="24"/>
              </w:rPr>
              <w:t>草原英才</w:t>
            </w:r>
            <w:r>
              <w:rPr>
                <w:rFonts w:hint="eastAsia" w:ascii="Times New Roman" w:hAnsi="Times New Roman" w:eastAsia="仿宋" w:cs="Times New Roman"/>
                <w:sz w:val="24"/>
                <w:szCs w:val="24"/>
              </w:rPr>
              <w:t>”</w:t>
            </w:r>
            <w:r>
              <w:rPr>
                <w:rFonts w:ascii="Times New Roman" w:hAnsi="Times New Roman" w:eastAsia="仿宋" w:cs="Times New Roman"/>
                <w:sz w:val="24"/>
                <w:szCs w:val="24"/>
              </w:rPr>
              <w:t>个人。中国医师协会外科医师分会委员；中华医学会肿瘤学分会腹膜后肿瘤学组委员；国家卫健委能力建设和继续教育外科学专家委员会委员；内蒙古抗癌协会胃肠肿瘤专业委员会主任委员。先后负责包括国家自然基金等各级课题10余项，获吉林省科技厅科研成果1项，作为第一负责人获吉林大学医疗成果二等奖1项、三等奖3项，获内蒙古自治区新技术新业务奖励10余项，在中华医学会系列杂志和核心期刊发表论文70余篇，SCI收录10篇，参编专著2部。</w:t>
            </w:r>
          </w:p>
        </w:tc>
      </w:tr>
    </w:tbl>
    <w:p>
      <w:pPr>
        <w:tabs>
          <w:tab w:val="left" w:pos="567"/>
        </w:tabs>
        <w:adjustRightInd w:val="0"/>
        <w:snapToGrid w:val="0"/>
        <w:spacing w:before="100" w:beforeAutospacing="1"/>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2.团队结构及人才培养</w:t>
      </w:r>
    </w:p>
    <w:tbl>
      <w:tblPr>
        <w:tblStyle w:val="13"/>
        <w:tblW w:w="852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709"/>
        <w:gridCol w:w="975"/>
        <w:gridCol w:w="1260"/>
        <w:gridCol w:w="915"/>
        <w:gridCol w:w="990"/>
        <w:gridCol w:w="1305"/>
        <w:gridCol w:w="23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2079" w:hRule="atLeast"/>
          <w:jc w:val="center"/>
        </w:trPr>
        <w:tc>
          <w:tcPr>
            <w:tcW w:w="8528" w:type="dxa"/>
            <w:gridSpan w:val="7"/>
          </w:tcPr>
          <w:p>
            <w:pPr>
              <w:rPr>
                <w:rFonts w:ascii="仿宋" w:hAnsi="仿宋" w:eastAsia="仿宋" w:cs="Times New Roman"/>
                <w:sz w:val="24"/>
                <w:szCs w:val="32"/>
              </w:rPr>
            </w:pPr>
            <w:r>
              <w:rPr>
                <w:rFonts w:hint="eastAsia" w:ascii="仿宋" w:hAnsi="仿宋" w:eastAsia="仿宋" w:cs="Times New Roman"/>
                <w:sz w:val="24"/>
                <w:szCs w:val="32"/>
              </w:rPr>
              <w:t>（1）简要介绍实验室规模和人才梯队建设的总体情况，包括固定人员和流动人员的人数、年龄结构、职称结构、专业领域分布等；</w:t>
            </w:r>
          </w:p>
          <w:p>
            <w:pPr>
              <w:spacing w:before="240" w:after="240"/>
              <w:ind w:firstLine="480" w:firstLineChars="200"/>
              <w:rPr>
                <w:rFonts w:ascii="Times New Roman" w:hAnsi="Times New Roman" w:eastAsia="仿宋" w:cs="Times New Roman"/>
                <w:sz w:val="24"/>
                <w:szCs w:val="32"/>
              </w:rPr>
            </w:pPr>
            <w:r>
              <w:rPr>
                <w:rFonts w:ascii="Times New Roman" w:hAnsi="Times New Roman" w:eastAsia="仿宋" w:cs="Times New Roman"/>
                <w:sz w:val="24"/>
                <w:szCs w:val="32"/>
              </w:rPr>
              <w:t>目前实验室共24名成员，其中固定人员13人，流动人员11人；高级职称7人，中级职称9人，初级职称8人；博士5人，硕士18人，本科1人</w:t>
            </w:r>
            <w:r>
              <w:rPr>
                <w:rFonts w:hint="eastAsia" w:ascii="Times New Roman" w:hAnsi="Times New Roman" w:eastAsia="仿宋" w:cs="Times New Roman"/>
                <w:sz w:val="24"/>
                <w:szCs w:val="32"/>
              </w:rPr>
              <w:t>；35岁以下9人， 36-45岁11人，46-55岁3人， 56岁以上1人；消化内镜领域19人，胃肠外科1人，肿瘤外科2人，病理科1人，生物学研究领域1人。</w:t>
            </w:r>
          </w:p>
          <w:p>
            <w:pPr>
              <w:rPr>
                <w:rFonts w:ascii="仿宋" w:hAnsi="仿宋" w:eastAsia="仿宋" w:cs="Times New Roman"/>
                <w:sz w:val="24"/>
                <w:szCs w:val="32"/>
              </w:rPr>
            </w:pPr>
            <w:r>
              <w:rPr>
                <w:rFonts w:hint="eastAsia" w:ascii="仿宋" w:hAnsi="仿宋" w:eastAsia="仿宋" w:cs="Times New Roman"/>
                <w:sz w:val="24"/>
                <w:szCs w:val="32"/>
              </w:rPr>
              <w:t>（2）总结实验室在高层次人才培养、引进方面采取的措施及评估期内取得的成绩（以固定人员为主）；尤其是领军人才和优秀青年人才的拥有及工作情况；</w:t>
            </w:r>
          </w:p>
          <w:p>
            <w:pPr>
              <w:spacing w:before="240" w:after="240"/>
              <w:ind w:firstLine="480" w:firstLineChars="200"/>
              <w:rPr>
                <w:rFonts w:ascii="仿宋" w:hAnsi="仿宋" w:eastAsia="仿宋" w:cs="Times New Roman"/>
                <w:sz w:val="24"/>
                <w:szCs w:val="32"/>
              </w:rPr>
            </w:pPr>
            <w:r>
              <w:rPr>
                <w:rFonts w:hint="eastAsia" w:ascii="仿宋" w:hAnsi="仿宋" w:eastAsia="仿宋" w:cs="Times New Roman"/>
                <w:sz w:val="24"/>
                <w:szCs w:val="32"/>
              </w:rPr>
              <w:t>结合</w:t>
            </w:r>
            <w:r>
              <w:rPr>
                <w:rFonts w:ascii="仿宋" w:hAnsi="仿宋" w:eastAsia="仿宋" w:cs="Times New Roman"/>
                <w:sz w:val="24"/>
                <w:szCs w:val="32"/>
              </w:rPr>
              <w:t>内蒙古自治区人民医院人才引进规定</w:t>
            </w:r>
            <w:r>
              <w:rPr>
                <w:rFonts w:hint="eastAsia" w:ascii="仿宋" w:hAnsi="仿宋" w:eastAsia="仿宋" w:cs="Times New Roman"/>
                <w:sz w:val="24"/>
                <w:szCs w:val="32"/>
              </w:rPr>
              <w:t>，</w:t>
            </w:r>
            <w:r>
              <w:rPr>
                <w:rFonts w:ascii="仿宋" w:hAnsi="仿宋" w:eastAsia="仿宋" w:cs="Times New Roman"/>
                <w:sz w:val="24"/>
                <w:szCs w:val="32"/>
              </w:rPr>
              <w:t>制定人才引进标准和条例，确保引进人才的质量。对于引进的人才，在人员配备、仪器设备、外出学习交流等方面创造条件，制定目标责任制，定期进行考核。制定相关规定，使引进的专职科研人员的工资奖金收入、生活待遇不低于同级别的其它专业人员，并根据承担课题、发表论文的数量和级别，以及研究生培养情况进行调整，考核优秀者给予奖励，充分调动科研人员的积极性。</w:t>
            </w:r>
          </w:p>
          <w:p>
            <w:pPr>
              <w:rPr>
                <w:rFonts w:ascii="仿宋" w:hAnsi="仿宋" w:eastAsia="仿宋" w:cs="Times New Roman"/>
                <w:sz w:val="24"/>
                <w:szCs w:val="32"/>
              </w:rPr>
            </w:pPr>
            <w:r>
              <w:rPr>
                <w:rFonts w:hint="eastAsia" w:ascii="仿宋" w:hAnsi="仿宋" w:eastAsia="仿宋" w:cs="Times New Roman"/>
                <w:sz w:val="24"/>
                <w:szCs w:val="32"/>
              </w:rPr>
              <w:t>（3）简述实验室在行（产）业技术人员培养、培训方面及博硕士研究生的引进与培养方面取得的成绩；</w:t>
            </w:r>
          </w:p>
          <w:p>
            <w:pPr>
              <w:spacing w:before="240" w:after="240"/>
              <w:ind w:firstLine="480" w:firstLineChars="200"/>
              <w:rPr>
                <w:rFonts w:ascii="Times New Roman" w:hAnsi="Times New Roman" w:eastAsia="仿宋" w:cs="Times New Roman"/>
                <w:sz w:val="24"/>
                <w:szCs w:val="32"/>
              </w:rPr>
            </w:pPr>
            <w:r>
              <w:rPr>
                <w:rFonts w:hint="eastAsia" w:ascii="Times New Roman" w:hAnsi="Times New Roman" w:eastAsia="仿宋" w:cs="Times New Roman"/>
                <w:sz w:val="24"/>
                <w:szCs w:val="32"/>
              </w:rPr>
              <w:t>实验室</w:t>
            </w:r>
            <w:r>
              <w:rPr>
                <w:rFonts w:ascii="Times New Roman" w:hAnsi="Times New Roman" w:eastAsia="仿宋" w:cs="Times New Roman"/>
                <w:sz w:val="24"/>
                <w:szCs w:val="32"/>
              </w:rPr>
              <w:t>建立国家消化疾病临床研究中心早癌诊治内蒙古协作组、京蒙青年消化内镜医师培训基地等培训基地，已经</w:t>
            </w:r>
            <w:r>
              <w:rPr>
                <w:rFonts w:hint="eastAsia" w:ascii="Times New Roman" w:hAnsi="Times New Roman" w:eastAsia="仿宋" w:cs="Times New Roman"/>
                <w:sz w:val="24"/>
                <w:szCs w:val="32"/>
              </w:rPr>
              <w:t>多次</w:t>
            </w:r>
            <w:r>
              <w:rPr>
                <w:rFonts w:ascii="Times New Roman" w:hAnsi="Times New Roman" w:eastAsia="仿宋" w:cs="Times New Roman"/>
                <w:sz w:val="24"/>
                <w:szCs w:val="32"/>
              </w:rPr>
              <w:t>举办了京蒙两地及内蒙古地区的内镜医生</w:t>
            </w:r>
            <w:r>
              <w:rPr>
                <w:rFonts w:hint="eastAsia" w:ascii="Times New Roman" w:hAnsi="Times New Roman" w:eastAsia="仿宋" w:cs="Times New Roman"/>
                <w:sz w:val="24"/>
                <w:szCs w:val="32"/>
              </w:rPr>
              <w:t>‘</w:t>
            </w:r>
            <w:r>
              <w:rPr>
                <w:rFonts w:ascii="Times New Roman" w:hAnsi="Times New Roman" w:eastAsia="仿宋" w:cs="Times New Roman"/>
                <w:sz w:val="24"/>
                <w:szCs w:val="32"/>
              </w:rPr>
              <w:t>手把手</w:t>
            </w:r>
            <w:r>
              <w:rPr>
                <w:rFonts w:hint="eastAsia" w:ascii="Times New Roman" w:hAnsi="Times New Roman" w:eastAsia="仿宋" w:cs="Times New Roman"/>
                <w:sz w:val="24"/>
                <w:szCs w:val="32"/>
              </w:rPr>
              <w:t>’</w:t>
            </w:r>
            <w:r>
              <w:rPr>
                <w:rFonts w:ascii="Times New Roman" w:hAnsi="Times New Roman" w:eastAsia="仿宋" w:cs="Times New Roman"/>
                <w:sz w:val="24"/>
                <w:szCs w:val="32"/>
              </w:rPr>
              <w:t>培训，为</w:t>
            </w:r>
            <w:r>
              <w:rPr>
                <w:rFonts w:hint="eastAsia" w:ascii="Times New Roman" w:hAnsi="Times New Roman" w:eastAsia="仿宋" w:cs="Times New Roman"/>
                <w:sz w:val="24"/>
                <w:szCs w:val="32"/>
              </w:rPr>
              <w:t>我</w:t>
            </w:r>
            <w:r>
              <w:rPr>
                <w:rFonts w:ascii="Times New Roman" w:hAnsi="Times New Roman" w:eastAsia="仿宋" w:cs="Times New Roman"/>
                <w:sz w:val="24"/>
                <w:szCs w:val="32"/>
              </w:rPr>
              <w:t>区输送更多</w:t>
            </w:r>
            <w:r>
              <w:rPr>
                <w:rFonts w:hint="eastAsia" w:ascii="Times New Roman" w:hAnsi="Times New Roman" w:eastAsia="仿宋" w:cs="Times New Roman"/>
                <w:sz w:val="24"/>
                <w:szCs w:val="32"/>
              </w:rPr>
              <w:t>拥有高水平</w:t>
            </w:r>
            <w:r>
              <w:rPr>
                <w:rFonts w:ascii="Times New Roman" w:hAnsi="Times New Roman" w:eastAsia="仿宋" w:cs="Times New Roman"/>
                <w:sz w:val="24"/>
                <w:szCs w:val="32"/>
              </w:rPr>
              <w:t>内镜临床</w:t>
            </w:r>
            <w:r>
              <w:rPr>
                <w:rFonts w:hint="eastAsia" w:ascii="Times New Roman" w:hAnsi="Times New Roman" w:eastAsia="仿宋" w:cs="Times New Roman"/>
                <w:sz w:val="24"/>
                <w:szCs w:val="32"/>
              </w:rPr>
              <w:t>技能的</w:t>
            </w:r>
            <w:r>
              <w:rPr>
                <w:rFonts w:ascii="Times New Roman" w:hAnsi="Times New Roman" w:eastAsia="仿宋" w:cs="Times New Roman"/>
                <w:sz w:val="24"/>
                <w:szCs w:val="32"/>
              </w:rPr>
              <w:t>人才</w:t>
            </w:r>
            <w:r>
              <w:rPr>
                <w:rFonts w:hint="eastAsia" w:ascii="Times New Roman" w:hAnsi="Times New Roman" w:eastAsia="仿宋" w:cs="Times New Roman"/>
                <w:sz w:val="24"/>
                <w:szCs w:val="32"/>
              </w:rPr>
              <w:t>。2020年</w:t>
            </w:r>
            <w:r>
              <w:rPr>
                <w:rFonts w:ascii="Times New Roman" w:hAnsi="Times New Roman" w:eastAsia="仿宋" w:cs="Times New Roman"/>
                <w:sz w:val="24"/>
                <w:szCs w:val="32"/>
              </w:rPr>
              <w:t>参与首届内蒙古自治区内痔内镜手术微创培训班，</w:t>
            </w:r>
            <w:r>
              <w:rPr>
                <w:rFonts w:hint="eastAsia" w:ascii="Times New Roman" w:hAnsi="Times New Roman" w:eastAsia="仿宋" w:cs="Times New Roman"/>
                <w:sz w:val="24"/>
                <w:szCs w:val="32"/>
              </w:rPr>
              <w:t>更好地推进我区对内镜下内痔套扎治疗的规范操作，普及内痔微创治疗技术。</w:t>
            </w:r>
          </w:p>
          <w:p>
            <w:pPr>
              <w:rPr>
                <w:rFonts w:ascii="仿宋" w:hAnsi="仿宋" w:eastAsia="仿宋" w:cs="Times New Roman"/>
                <w:sz w:val="24"/>
                <w:szCs w:val="32"/>
              </w:rPr>
            </w:pPr>
            <w:r>
              <w:rPr>
                <w:rFonts w:hint="eastAsia" w:ascii="仿宋" w:hAnsi="仿宋" w:eastAsia="仿宋" w:cs="Times New Roman"/>
                <w:sz w:val="24"/>
                <w:szCs w:val="32"/>
              </w:rPr>
              <w:t>（4）简要描述流动人员投入实验室工作的时间和采取的主要方式，对实验室的贡献等。</w:t>
            </w:r>
          </w:p>
          <w:p>
            <w:pPr>
              <w:spacing w:before="240" w:after="240"/>
              <w:ind w:firstLine="480" w:firstLineChars="200"/>
              <w:rPr>
                <w:rFonts w:ascii="仿宋" w:hAnsi="仿宋" w:eastAsia="仿宋" w:cs="Times New Roman"/>
                <w:sz w:val="24"/>
                <w:szCs w:val="32"/>
              </w:rPr>
            </w:pPr>
            <w:r>
              <w:rPr>
                <w:rFonts w:hint="eastAsia" w:ascii="仿宋" w:hAnsi="仿宋" w:eastAsia="仿宋" w:cs="Times New Roman"/>
                <w:sz w:val="24"/>
                <w:szCs w:val="32"/>
              </w:rPr>
              <w:t>实验室流动人员主要包括研究生、实习生和进修人员。研究生要参与实验室的各项科研活动和临床培训，培养科研思维，学习临床技能，达到学校和医院的毕业要求。实习生和进修人员根据需要和兴趣参加实验室的科研学术活动和临床培训，但应严格遵守实验室的各项规章制度，爱护公共财产和实验室设备。流动人员在提高自我科研能力和临床技能的同时，也会参与实验室项目中的基础工作，协助项目研究顺利开展。</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528" w:type="dxa"/>
            <w:gridSpan w:val="7"/>
            <w:vAlign w:val="center"/>
          </w:tcPr>
          <w:p>
            <w:pPr>
              <w:pBdr>
                <w:top w:val="none" w:color="auto" w:sz="0" w:space="1"/>
                <w:left w:val="none" w:color="auto" w:sz="0" w:space="4"/>
                <w:bottom w:val="none" w:color="auto" w:sz="0" w:space="1"/>
                <w:right w:val="none" w:color="auto" w:sz="0" w:space="4"/>
              </w:pBdr>
              <w:adjustRightInd w:val="0"/>
              <w:snapToGrid w:val="0"/>
              <w:jc w:val="center"/>
              <w:rPr>
                <w:rFonts w:ascii="Times New Roman" w:hAnsi="Times New Roman" w:eastAsia="Helvetica Neue" w:cs="Times New Roman"/>
                <w:color w:val="333333"/>
                <w:sz w:val="32"/>
                <w:szCs w:val="21"/>
              </w:rPr>
            </w:pPr>
            <w:r>
              <w:rPr>
                <w:rFonts w:ascii="Times New Roman" w:hAnsi="Times New Roman" w:eastAsia="黑体" w:cs="Times New Roman"/>
                <w:sz w:val="24"/>
                <w:szCs w:val="32"/>
              </w:rPr>
              <w:t>表1</w:t>
            </w:r>
            <w:r>
              <w:rPr>
                <w:rFonts w:hint="eastAsia" w:ascii="Times New Roman" w:hAnsi="Times New Roman" w:eastAsia="黑体" w:cs="Times New Roman"/>
                <w:sz w:val="24"/>
                <w:szCs w:val="32"/>
              </w:rPr>
              <w:t>3</w:t>
            </w:r>
            <w:r>
              <w:rPr>
                <w:rFonts w:ascii="Times New Roman" w:hAnsi="Times New Roman" w:eastAsia="黑体" w:cs="Times New Roman"/>
                <w:sz w:val="24"/>
                <w:szCs w:val="32"/>
              </w:rPr>
              <w:t>：固定人员信息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50" w:hRule="atLeast"/>
          <w:jc w:val="center"/>
        </w:trPr>
        <w:tc>
          <w:tcPr>
            <w:tcW w:w="709"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97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姓名</w:t>
            </w:r>
          </w:p>
        </w:tc>
        <w:tc>
          <w:tcPr>
            <w:tcW w:w="1260"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出生</w:t>
            </w:r>
            <w:r>
              <w:rPr>
                <w:rFonts w:hint="eastAsia" w:ascii="宋体" w:hAnsi="宋体" w:eastAsia="宋体" w:cs="Times New Roman"/>
                <w:b/>
                <w:sz w:val="24"/>
                <w:szCs w:val="32"/>
              </w:rPr>
              <w:t>年月</w:t>
            </w:r>
          </w:p>
        </w:tc>
        <w:tc>
          <w:tcPr>
            <w:tcW w:w="91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职称</w:t>
            </w:r>
          </w:p>
        </w:tc>
        <w:tc>
          <w:tcPr>
            <w:tcW w:w="990"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最后学位</w:t>
            </w:r>
          </w:p>
        </w:tc>
        <w:tc>
          <w:tcPr>
            <w:tcW w:w="1305" w:type="dxa"/>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在实验室的职务</w:t>
            </w:r>
          </w:p>
        </w:tc>
        <w:tc>
          <w:tcPr>
            <w:tcW w:w="2374"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研究方向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1</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赵贵君</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1976.09</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博士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实验室主任/学术带头人</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研发消化内镜人工智能辅助诊断系统/内镜消化疾病研究相关人才的培养方式研究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2</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王举</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1967.03</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博士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学术带头人</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常见消化系统肿瘤发病机理研究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3</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王潇</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1988.01</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助理研究员</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博士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常见消化系统肿瘤发病机理研究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4</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汪峰</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1978.01</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常见消化系统肿瘤发病机理研究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5</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王柏涛</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1988.05</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auto"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6</w:t>
            </w:r>
          </w:p>
        </w:tc>
        <w:tc>
          <w:tcPr>
            <w:tcW w:w="975"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李雪</w:t>
            </w:r>
          </w:p>
        </w:tc>
        <w:tc>
          <w:tcPr>
            <w:tcW w:w="126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1988.1</w:t>
            </w:r>
          </w:p>
        </w:tc>
        <w:tc>
          <w:tcPr>
            <w:tcW w:w="915"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auto"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7</w:t>
            </w:r>
          </w:p>
        </w:tc>
        <w:tc>
          <w:tcPr>
            <w:tcW w:w="975"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朱虹</w:t>
            </w:r>
          </w:p>
        </w:tc>
        <w:tc>
          <w:tcPr>
            <w:tcW w:w="126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1986.06</w:t>
            </w:r>
          </w:p>
        </w:tc>
        <w:tc>
          <w:tcPr>
            <w:tcW w:w="915"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single" w:color="auto" w:sz="4" w:space="0"/>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8</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梁雄</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1988.06</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9</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王佳林</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1972.08</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副主任医师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10</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贾明旭</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1989.06</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11</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李军华</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1978.11</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副主任医师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常见消化系统肿瘤发病机理研究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12</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时牛</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1985.06</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博士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常见消化系统肿瘤发病机理研究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000000" w:sz="4" w:space="0"/>
              <w:left w:val="single" w:color="000000" w:sz="4" w:space="0"/>
              <w:bottom w:val="single" w:color="000000" w:sz="4" w:space="0"/>
              <w:right w:val="single" w:color="000000" w:sz="4" w:space="0"/>
            </w:tcBorders>
            <w:shd w:val="clear" w:color="auto" w:fill="auto"/>
            <w:vAlign w:val="center"/>
          </w:tcPr>
          <w:p>
            <w:pPr>
              <w:adjustRightInd w:val="0"/>
              <w:snapToGrid w:val="0"/>
              <w:jc w:val="center"/>
              <w:rPr>
                <w:rFonts w:ascii="Times New Roman" w:hAnsi="Times New Roman" w:eastAsia="宋体" w:cs="Times New Roman"/>
                <w:sz w:val="20"/>
                <w:szCs w:val="20"/>
              </w:rPr>
            </w:pPr>
            <w:r>
              <w:rPr>
                <w:rFonts w:ascii="Times New Roman" w:hAnsi="Times New Roman" w:eastAsia="宋体" w:cs="Times New Roman"/>
                <w:sz w:val="20"/>
                <w:szCs w:val="20"/>
              </w:rPr>
              <w:t>13</w:t>
            </w:r>
          </w:p>
        </w:tc>
        <w:tc>
          <w:tcPr>
            <w:tcW w:w="97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白艳华</w:t>
            </w:r>
          </w:p>
        </w:tc>
        <w:tc>
          <w:tcPr>
            <w:tcW w:w="126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1974.02</w:t>
            </w:r>
          </w:p>
        </w:tc>
        <w:tc>
          <w:tcPr>
            <w:tcW w:w="915"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副主任医师</w:t>
            </w:r>
          </w:p>
        </w:tc>
        <w:tc>
          <w:tcPr>
            <w:tcW w:w="990" w:type="dxa"/>
            <w:tcBorders>
              <w:top w:val="nil"/>
              <w:left w:val="nil"/>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博士</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骨干</w:t>
            </w:r>
          </w:p>
        </w:tc>
        <w:tc>
          <w:tcPr>
            <w:tcW w:w="2374" w:type="dxa"/>
            <w:tcBorders>
              <w:top w:val="single" w:color="000000" w:sz="4" w:space="0"/>
              <w:left w:val="single" w:color="000000" w:sz="4" w:space="0"/>
              <w:bottom w:val="single" w:color="000000" w:sz="4" w:space="0"/>
              <w:right w:val="single" w:color="000000" w:sz="4" w:space="0"/>
            </w:tcBorders>
            <w:shd w:val="clear" w:color="auto" w:fill="auto"/>
            <w:vAlign w:val="center"/>
          </w:tcPr>
          <w:p>
            <w:pPr>
              <w:widowControl/>
              <w:adjustRightInd w:val="0"/>
              <w:snapToGrid w:val="0"/>
              <w:jc w:val="center"/>
              <w:rPr>
                <w:rFonts w:ascii="Times New Roman" w:hAnsi="Times New Roman" w:eastAsia="宋体" w:cs="Times New Roman"/>
                <w:kern w:val="0"/>
                <w:sz w:val="20"/>
                <w:szCs w:val="20"/>
              </w:rPr>
            </w:pPr>
            <w:r>
              <w:rPr>
                <w:rFonts w:hint="eastAsia" w:ascii="Times New Roman" w:hAnsi="Times New Roman" w:eastAsia="宋体" w:cs="Times New Roman"/>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567" w:hRule="exact"/>
          <w:jc w:val="center"/>
        </w:trPr>
        <w:tc>
          <w:tcPr>
            <w:tcW w:w="8528" w:type="dxa"/>
            <w:gridSpan w:val="7"/>
            <w:vAlign w:val="center"/>
          </w:tcPr>
          <w:p>
            <w:pPr>
              <w:pBdr>
                <w:top w:val="none" w:color="auto" w:sz="0" w:space="1"/>
                <w:left w:val="none" w:color="auto" w:sz="0" w:space="4"/>
                <w:bottom w:val="none" w:color="auto" w:sz="0" w:space="1"/>
                <w:right w:val="none" w:color="auto" w:sz="0" w:space="4"/>
              </w:pBdr>
              <w:adjustRightInd w:val="0"/>
              <w:snapToGrid w:val="0"/>
              <w:jc w:val="center"/>
              <w:rPr>
                <w:rFonts w:ascii="Times New Roman" w:hAnsi="Times New Roman" w:eastAsia="Helvetica Neue" w:cs="Times New Roman"/>
                <w:color w:val="333333"/>
                <w:sz w:val="32"/>
                <w:szCs w:val="21"/>
              </w:rPr>
            </w:pPr>
            <w:r>
              <w:rPr>
                <w:rFonts w:ascii="Times New Roman" w:hAnsi="Times New Roman" w:eastAsia="黑体" w:cs="Times New Roman"/>
                <w:sz w:val="24"/>
                <w:szCs w:val="32"/>
              </w:rPr>
              <w:t>表1</w:t>
            </w:r>
            <w:r>
              <w:rPr>
                <w:rFonts w:hint="eastAsia" w:ascii="Times New Roman" w:hAnsi="Times New Roman" w:eastAsia="黑体" w:cs="Times New Roman"/>
                <w:sz w:val="24"/>
                <w:szCs w:val="32"/>
              </w:rPr>
              <w:t>4</w:t>
            </w:r>
            <w:r>
              <w:rPr>
                <w:rFonts w:ascii="Times New Roman" w:hAnsi="Times New Roman" w:eastAsia="黑体" w:cs="Times New Roman"/>
                <w:sz w:val="24"/>
                <w:szCs w:val="32"/>
              </w:rPr>
              <w:t>：</w:t>
            </w:r>
            <w:r>
              <w:rPr>
                <w:rFonts w:hint="eastAsia" w:ascii="Times New Roman" w:hAnsi="Times New Roman" w:eastAsia="黑体" w:cs="Times New Roman"/>
                <w:sz w:val="24"/>
                <w:szCs w:val="32"/>
              </w:rPr>
              <w:t>流动</w:t>
            </w:r>
            <w:r>
              <w:rPr>
                <w:rFonts w:ascii="Times New Roman" w:hAnsi="Times New Roman" w:eastAsia="黑体" w:cs="Times New Roman"/>
                <w:sz w:val="24"/>
                <w:szCs w:val="32"/>
              </w:rPr>
              <w:t>人员信息</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67" w:hRule="atLeast"/>
          <w:jc w:val="center"/>
        </w:trPr>
        <w:tc>
          <w:tcPr>
            <w:tcW w:w="709"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序号</w:t>
            </w:r>
          </w:p>
        </w:tc>
        <w:tc>
          <w:tcPr>
            <w:tcW w:w="97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姓名</w:t>
            </w:r>
          </w:p>
        </w:tc>
        <w:tc>
          <w:tcPr>
            <w:tcW w:w="1260"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出生</w:t>
            </w:r>
            <w:r>
              <w:rPr>
                <w:rFonts w:hint="eastAsia" w:ascii="宋体" w:hAnsi="宋体" w:eastAsia="宋体" w:cs="Times New Roman"/>
                <w:b/>
                <w:sz w:val="24"/>
                <w:szCs w:val="32"/>
              </w:rPr>
              <w:t>年月</w:t>
            </w:r>
          </w:p>
        </w:tc>
        <w:tc>
          <w:tcPr>
            <w:tcW w:w="915"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职称</w:t>
            </w:r>
          </w:p>
        </w:tc>
        <w:tc>
          <w:tcPr>
            <w:tcW w:w="990"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最后学位</w:t>
            </w:r>
          </w:p>
        </w:tc>
        <w:tc>
          <w:tcPr>
            <w:tcW w:w="1305" w:type="dxa"/>
            <w:vAlign w:val="center"/>
          </w:tcPr>
          <w:p>
            <w:pPr>
              <w:adjustRightInd w:val="0"/>
              <w:snapToGrid w:val="0"/>
              <w:jc w:val="center"/>
              <w:rPr>
                <w:rFonts w:ascii="宋体" w:hAnsi="宋体" w:eastAsia="宋体" w:cs="Times New Roman"/>
                <w:b/>
                <w:sz w:val="24"/>
                <w:szCs w:val="32"/>
              </w:rPr>
            </w:pPr>
            <w:r>
              <w:rPr>
                <w:rFonts w:hint="eastAsia" w:ascii="宋体" w:hAnsi="宋体" w:eastAsia="宋体" w:cs="Times New Roman"/>
                <w:b/>
                <w:sz w:val="24"/>
                <w:szCs w:val="32"/>
              </w:rPr>
              <w:t>年均投入时间（月）</w:t>
            </w:r>
          </w:p>
        </w:tc>
        <w:tc>
          <w:tcPr>
            <w:tcW w:w="2374" w:type="dxa"/>
            <w:vAlign w:val="center"/>
          </w:tcPr>
          <w:p>
            <w:pPr>
              <w:adjustRightInd w:val="0"/>
              <w:snapToGrid w:val="0"/>
              <w:jc w:val="center"/>
              <w:rPr>
                <w:rFonts w:ascii="宋体" w:hAnsi="宋体" w:eastAsia="宋体" w:cs="Times New Roman"/>
                <w:b/>
                <w:sz w:val="24"/>
                <w:szCs w:val="32"/>
              </w:rPr>
            </w:pPr>
            <w:r>
              <w:rPr>
                <w:rFonts w:ascii="宋体" w:hAnsi="宋体" w:eastAsia="宋体" w:cs="Times New Roman"/>
                <w:b/>
                <w:sz w:val="24"/>
                <w:szCs w:val="32"/>
              </w:rPr>
              <w:t>研究方向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bottom w:val="single" w:color="auto" w:sz="4" w:space="0"/>
            </w:tcBorders>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w:t>
            </w:r>
          </w:p>
        </w:tc>
        <w:tc>
          <w:tcPr>
            <w:tcW w:w="975"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张慧</w:t>
            </w:r>
          </w:p>
        </w:tc>
        <w:tc>
          <w:tcPr>
            <w:tcW w:w="1260" w:type="dxa"/>
            <w:tcBorders>
              <w:top w:val="single" w:color="auto" w:sz="8" w:space="0"/>
              <w:left w:val="single" w:color="auto" w:sz="8" w:space="0"/>
              <w:bottom w:val="single" w:color="auto" w:sz="4"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1981.12</w:t>
            </w:r>
          </w:p>
        </w:tc>
        <w:tc>
          <w:tcPr>
            <w:tcW w:w="915" w:type="dxa"/>
            <w:tcBorders>
              <w:top w:val="single" w:color="auto" w:sz="8" w:space="0"/>
              <w:left w:val="nil"/>
              <w:bottom w:val="single" w:color="auto" w:sz="4"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single" w:color="auto" w:sz="8" w:space="0"/>
              <w:left w:val="nil"/>
              <w:bottom w:val="single" w:color="auto" w:sz="4"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bottom w:val="single" w:color="auto" w:sz="4" w:space="0"/>
            </w:tcBorders>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single" w:color="auto" w:sz="8" w:space="0"/>
              <w:left w:val="single" w:color="auto" w:sz="8" w:space="0"/>
              <w:bottom w:val="single" w:color="auto" w:sz="8" w:space="0"/>
              <w:right w:val="single" w:color="auto" w:sz="8" w:space="0"/>
            </w:tcBorders>
            <w:shd w:val="clear" w:color="auto" w:fill="auto"/>
            <w:vAlign w:val="center"/>
          </w:tcPr>
          <w:p>
            <w:pPr>
              <w:widowControl/>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tcBorders>
              <w:top w:val="single" w:color="auto" w:sz="4" w:space="0"/>
            </w:tcBorders>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2</w:t>
            </w:r>
          </w:p>
        </w:tc>
        <w:tc>
          <w:tcPr>
            <w:tcW w:w="975" w:type="dxa"/>
            <w:tcBorders>
              <w:top w:val="single" w:color="auto" w:sz="4"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云宇婷</w:t>
            </w:r>
          </w:p>
        </w:tc>
        <w:tc>
          <w:tcPr>
            <w:tcW w:w="1260" w:type="dxa"/>
            <w:tcBorders>
              <w:top w:val="single" w:color="auto" w:sz="4" w:space="0"/>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1981.01</w:t>
            </w:r>
          </w:p>
        </w:tc>
        <w:tc>
          <w:tcPr>
            <w:tcW w:w="915" w:type="dxa"/>
            <w:tcBorders>
              <w:top w:val="single" w:color="auto" w:sz="4" w:space="0"/>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single" w:color="auto" w:sz="4" w:space="0"/>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tcBorders>
              <w:top w:val="single" w:color="auto" w:sz="4" w:space="0"/>
            </w:tcBorders>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3</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宋洁</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1984.08</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4</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许天祥</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1983.05</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5</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彭琳</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1965.02</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主任医师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学士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张春凤</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1988.02</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7</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聂虹</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1988.03</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8</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崔天庆</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1985.07</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9</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梁玉萍</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1985.11</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10</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赵丽娟</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1987.03</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住院医师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内镜消化疾病研究相关人才的培养方式研究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493" w:hRule="atLeast"/>
          <w:jc w:val="center"/>
        </w:trPr>
        <w:tc>
          <w:tcPr>
            <w:tcW w:w="709" w:type="dxa"/>
            <w:vAlign w:val="center"/>
          </w:tcPr>
          <w:p>
            <w:pPr>
              <w:adjustRightInd w:val="0"/>
              <w:snapToGrid w:val="0"/>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11</w:t>
            </w:r>
          </w:p>
        </w:tc>
        <w:tc>
          <w:tcPr>
            <w:tcW w:w="975"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张苗</w:t>
            </w:r>
          </w:p>
        </w:tc>
        <w:tc>
          <w:tcPr>
            <w:tcW w:w="1260"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ascii="Times New Roman" w:hAnsi="Times New Roman" w:eastAsia="宋体" w:cs="Times New Roman"/>
                <w:color w:val="000000"/>
                <w:kern w:val="0"/>
                <w:sz w:val="20"/>
                <w:szCs w:val="20"/>
              </w:rPr>
              <w:t>1984.05</w:t>
            </w:r>
          </w:p>
        </w:tc>
        <w:tc>
          <w:tcPr>
            <w:tcW w:w="915"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主治医师</w:t>
            </w:r>
          </w:p>
        </w:tc>
        <w:tc>
          <w:tcPr>
            <w:tcW w:w="990" w:type="dxa"/>
            <w:tcBorders>
              <w:top w:val="nil"/>
              <w:left w:val="nil"/>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硕士</w:t>
            </w:r>
          </w:p>
        </w:tc>
        <w:tc>
          <w:tcPr>
            <w:tcW w:w="1305" w:type="dxa"/>
            <w:vAlign w:val="center"/>
          </w:tcPr>
          <w:p>
            <w:pPr>
              <w:widowControl/>
              <w:adjustRightInd w:val="0"/>
              <w:snapToGrid w:val="0"/>
              <w:spacing w:line="353" w:lineRule="auto"/>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6</w:t>
            </w:r>
          </w:p>
        </w:tc>
        <w:tc>
          <w:tcPr>
            <w:tcW w:w="2374" w:type="dxa"/>
            <w:tcBorders>
              <w:top w:val="nil"/>
              <w:left w:val="single" w:color="auto" w:sz="8" w:space="0"/>
              <w:bottom w:val="single" w:color="auto" w:sz="8" w:space="0"/>
              <w:right w:val="single" w:color="auto" w:sz="8" w:space="0"/>
            </w:tcBorders>
            <w:shd w:val="clear" w:color="auto" w:fill="auto"/>
            <w:vAlign w:val="center"/>
          </w:tcPr>
          <w:p>
            <w:pPr>
              <w:jc w:val="center"/>
              <w:rPr>
                <w:rFonts w:ascii="Times New Roman" w:hAnsi="Times New Roman" w:eastAsia="宋体" w:cs="Times New Roman"/>
                <w:color w:val="000000"/>
                <w:kern w:val="0"/>
                <w:sz w:val="20"/>
                <w:szCs w:val="20"/>
              </w:rPr>
            </w:pPr>
            <w:r>
              <w:rPr>
                <w:rFonts w:hint="eastAsia" w:ascii="Times New Roman" w:hAnsi="Times New Roman" w:eastAsia="宋体" w:cs="Times New Roman"/>
                <w:color w:val="000000"/>
                <w:kern w:val="0"/>
                <w:sz w:val="20"/>
                <w:szCs w:val="20"/>
              </w:rPr>
              <w:t>研发消化内镜人工智能辅助诊断系统</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p>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五</w:t>
      </w:r>
      <w:r>
        <w:rPr>
          <w:rFonts w:ascii="Times New Roman" w:hAnsi="Times New Roman" w:eastAsia="黑体" w:cs="Times New Roman"/>
          <w:kern w:val="0"/>
          <w:sz w:val="28"/>
          <w:szCs w:val="20"/>
        </w:rPr>
        <w:t>、</w:t>
      </w:r>
      <w:r>
        <w:rPr>
          <w:rFonts w:hint="eastAsia" w:ascii="Times New Roman" w:hAnsi="Times New Roman" w:eastAsia="黑体" w:cs="Times New Roman"/>
          <w:kern w:val="0"/>
          <w:sz w:val="28"/>
          <w:szCs w:val="20"/>
        </w:rPr>
        <w:t>开放交流与运行管理</w:t>
      </w:r>
    </w:p>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1.开放、合作与交流</w:t>
      </w:r>
    </w:p>
    <w:tbl>
      <w:tblPr>
        <w:tblStyle w:val="1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527" w:type="dxa"/>
          </w:tcPr>
          <w:p>
            <w:pPr>
              <w:adjustRightInd w:val="0"/>
              <w:snapToGrid w:val="0"/>
              <w:spacing w:line="288" w:lineRule="auto"/>
              <w:rPr>
                <w:rFonts w:ascii="仿宋" w:hAnsi="仿宋" w:eastAsia="仿宋" w:cs="Times New Roman"/>
                <w:sz w:val="24"/>
                <w:szCs w:val="32"/>
              </w:rPr>
            </w:pPr>
            <w:r>
              <w:rPr>
                <w:rFonts w:hint="eastAsia" w:ascii="仿宋" w:hAnsi="仿宋" w:eastAsia="仿宋" w:cs="Times New Roman"/>
                <w:sz w:val="24"/>
                <w:szCs w:val="32"/>
              </w:rPr>
              <w:t>（1）简述实验室</w:t>
            </w:r>
            <w:r>
              <w:rPr>
                <w:rFonts w:ascii="仿宋" w:hAnsi="仿宋" w:eastAsia="仿宋" w:cs="Times New Roman"/>
                <w:sz w:val="24"/>
                <w:szCs w:val="32"/>
              </w:rPr>
              <w:t>与</w:t>
            </w:r>
            <w:r>
              <w:rPr>
                <w:rFonts w:hint="eastAsia" w:ascii="仿宋" w:hAnsi="仿宋" w:eastAsia="仿宋" w:cs="Times New Roman"/>
                <w:sz w:val="24"/>
                <w:szCs w:val="32"/>
              </w:rPr>
              <w:t>国内外</w:t>
            </w:r>
            <w:r>
              <w:rPr>
                <w:rFonts w:ascii="仿宋" w:hAnsi="仿宋" w:eastAsia="仿宋" w:cs="Times New Roman"/>
                <w:sz w:val="24"/>
                <w:szCs w:val="32"/>
              </w:rPr>
              <w:t>高等院校、科研院所和企业的合作情况</w:t>
            </w:r>
            <w:r>
              <w:rPr>
                <w:rFonts w:hint="eastAsia" w:ascii="仿宋" w:hAnsi="仿宋" w:eastAsia="仿宋" w:cs="Times New Roman"/>
                <w:sz w:val="24"/>
                <w:szCs w:val="32"/>
              </w:rPr>
              <w:t>（与国内外科研机构、企业等开展科研和产学研合作的情况，实验室开放课题情况及取得的代表性成果，与其他实验室联动，主/承办国内外学术会议的情况和实验室人员参会、做特邀报告的情况）</w:t>
            </w:r>
            <w:r>
              <w:rPr>
                <w:rFonts w:ascii="仿宋" w:hAnsi="仿宋" w:eastAsia="仿宋" w:cs="Times New Roman"/>
                <w:sz w:val="24"/>
                <w:szCs w:val="32"/>
              </w:rPr>
              <w:t>；</w:t>
            </w:r>
          </w:p>
          <w:p>
            <w:pPr>
              <w:adjustRightInd w:val="0"/>
              <w:snapToGrid w:val="0"/>
              <w:spacing w:before="240" w:line="288" w:lineRule="auto"/>
              <w:ind w:firstLine="480" w:firstLineChars="200"/>
              <w:rPr>
                <w:rFonts w:ascii="Times New Roman" w:hAnsi="Times New Roman" w:eastAsia="仿宋" w:cs="Times New Roman"/>
                <w:sz w:val="24"/>
                <w:szCs w:val="32"/>
              </w:rPr>
            </w:pPr>
            <w:r>
              <w:rPr>
                <w:rFonts w:ascii="Times New Roman" w:hAnsi="Times New Roman" w:eastAsia="仿宋" w:cs="Times New Roman"/>
                <w:sz w:val="24"/>
                <w:szCs w:val="32"/>
              </w:rPr>
              <w:t>实验室一直坚持</w:t>
            </w:r>
            <w:r>
              <w:rPr>
                <w:rFonts w:hint="eastAsia" w:ascii="Times New Roman" w:hAnsi="Times New Roman" w:eastAsia="仿宋" w:cs="Times New Roman"/>
                <w:sz w:val="24"/>
                <w:szCs w:val="32"/>
              </w:rPr>
              <w:t>“</w:t>
            </w:r>
            <w:r>
              <w:rPr>
                <w:rFonts w:ascii="Times New Roman" w:hAnsi="Times New Roman" w:eastAsia="仿宋" w:cs="Times New Roman"/>
                <w:sz w:val="24"/>
                <w:szCs w:val="32"/>
              </w:rPr>
              <w:t>开放、流动、联合、竞争</w:t>
            </w:r>
            <w:r>
              <w:rPr>
                <w:rFonts w:hint="eastAsia" w:ascii="Times New Roman" w:hAnsi="Times New Roman" w:eastAsia="仿宋" w:cs="Times New Roman"/>
                <w:sz w:val="24"/>
                <w:szCs w:val="32"/>
              </w:rPr>
              <w:t>”</w:t>
            </w:r>
            <w:r>
              <w:rPr>
                <w:rFonts w:ascii="Times New Roman" w:hAnsi="Times New Roman" w:eastAsia="仿宋" w:cs="Times New Roman"/>
                <w:sz w:val="24"/>
                <w:szCs w:val="32"/>
              </w:rPr>
              <w:t>的运行管理理念，积极推进与国际、国内一流科研机构和学术机构开展实质性合作交流，促进科研发展、产学研结合和学术交流等。</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1. 国际合作交流项目</w:t>
            </w:r>
          </w:p>
          <w:p>
            <w:pPr>
              <w:adjustRightInd w:val="0"/>
              <w:snapToGrid w:val="0"/>
              <w:spacing w:line="288" w:lineRule="auto"/>
              <w:ind w:firstLine="480" w:firstLineChars="200"/>
              <w:rPr>
                <w:rFonts w:ascii="Times New Roman" w:hAnsi="Times New Roman" w:eastAsia="仿宋" w:cs="Times New Roman"/>
                <w:sz w:val="24"/>
                <w:szCs w:val="32"/>
              </w:rPr>
            </w:pPr>
            <w:r>
              <w:rPr>
                <w:rFonts w:hint="eastAsia" w:ascii="Times New Roman" w:hAnsi="Times New Roman" w:eastAsia="仿宋" w:cs="Times New Roman"/>
                <w:sz w:val="24"/>
                <w:szCs w:val="32"/>
              </w:rPr>
              <w:t>2019年</w:t>
            </w:r>
            <w:r>
              <w:rPr>
                <w:rFonts w:ascii="Times New Roman" w:hAnsi="Times New Roman" w:eastAsia="仿宋" w:cs="Times New Roman"/>
                <w:sz w:val="24"/>
                <w:szCs w:val="32"/>
              </w:rPr>
              <w:t>参加由香港中文大学牵头的多中心研究，与</w:t>
            </w:r>
            <w:r>
              <w:rPr>
                <w:rFonts w:hint="eastAsia" w:ascii="Times New Roman" w:hAnsi="Times New Roman" w:eastAsia="仿宋" w:cs="Times New Roman"/>
                <w:sz w:val="24"/>
                <w:szCs w:val="32"/>
              </w:rPr>
              <w:t>香港威尔斯亲王医院</w:t>
            </w:r>
            <w:r>
              <w:rPr>
                <w:rFonts w:ascii="Times New Roman" w:hAnsi="Times New Roman" w:eastAsia="仿宋" w:cs="Times New Roman"/>
                <w:sz w:val="24"/>
                <w:szCs w:val="32"/>
              </w:rPr>
              <w:t>、</w:t>
            </w:r>
            <w:r>
              <w:rPr>
                <w:rFonts w:hint="eastAsia" w:ascii="Times New Roman" w:hAnsi="Times New Roman" w:eastAsia="仿宋" w:cs="Times New Roman"/>
                <w:sz w:val="24"/>
                <w:szCs w:val="32"/>
              </w:rPr>
              <w:t>北京友谊医院</w:t>
            </w:r>
            <w:r>
              <w:rPr>
                <w:rFonts w:ascii="Times New Roman" w:hAnsi="Times New Roman" w:eastAsia="仿宋" w:cs="Times New Roman"/>
                <w:sz w:val="24"/>
                <w:szCs w:val="32"/>
              </w:rPr>
              <w:t>、</w:t>
            </w:r>
            <w:r>
              <w:rPr>
                <w:rFonts w:hint="eastAsia" w:ascii="Times New Roman" w:hAnsi="Times New Roman" w:eastAsia="仿宋" w:cs="Times New Roman"/>
                <w:sz w:val="24"/>
                <w:szCs w:val="32"/>
              </w:rPr>
              <w:t>北京大学附属第一医院、北京大学附属肿瘤医院和厦门大学附属中山医院</w:t>
            </w:r>
            <w:r>
              <w:rPr>
                <w:rFonts w:ascii="Times New Roman" w:hAnsi="Times New Roman" w:eastAsia="仿宋" w:cs="Times New Roman"/>
                <w:sz w:val="24"/>
                <w:szCs w:val="32"/>
              </w:rPr>
              <w:t>等多家国内知名医院建立了稳定的合作关系，为实验室有效开展基础和临床应用研究提供稳定的科研和技术支持。</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2. 2018年8月12日国家消化系统疾病临床医学研究中心—内蒙古自治区人民医院分中心授牌，促进我区消化内镜学术交流，规范消化内镜诊疗技术。</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3. 2019年3月成为国家消化道早癌防治中心联盟成员单位，贯彻落实健康中国发展战略，聚焦消化道早癌防治，促进消化道早癌筛查早诊早治适宜技术的应用，培养具备全面筛查早诊早治能力、具有运用新技术、富有创新能力的整合人才，加快提高筛查认可度、筛查质量和推广度。</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4. 开展产学研企业合作项目1项，助力企业科技研发水平和成果转化能力提升。5. 2020年9月26日参加首届内蒙古自治区内痔内镜手术微创培训班，学术现场氛围浓厚，交流不断，更好地推进内蒙古地区对内镜下内痔套扎治疗的规范操作，普及内痔微创治疗技术。</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6. 参加国内外学术会议14次，做特邀报告6次。</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⑴</w:t>
            </w:r>
            <w:r>
              <w:rPr>
                <w:rFonts w:ascii="Times New Roman" w:hAnsi="Times New Roman" w:eastAsia="仿宋" w:cs="Times New Roman"/>
                <w:sz w:val="24"/>
                <w:szCs w:val="32"/>
              </w:rPr>
              <w:t xml:space="preserve"> 2019年8月，沈阳，中国医科大学盛京医院，2019盛京消化肝病内镜高峰论坛，大会嘉宾，主持。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⑵</w:t>
            </w:r>
            <w:r>
              <w:rPr>
                <w:rFonts w:ascii="Times New Roman" w:hAnsi="Times New Roman" w:eastAsia="仿宋" w:cs="Times New Roman"/>
                <w:sz w:val="24"/>
                <w:szCs w:val="32"/>
              </w:rPr>
              <w:t xml:space="preserve"> 2019年9月，北京，中华医学会消化内镜年会，作为大会主持嘉宾发言并进行学术讲座。</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⑶</w:t>
            </w:r>
            <w:r>
              <w:rPr>
                <w:rFonts w:ascii="Times New Roman" w:hAnsi="Times New Roman" w:eastAsia="仿宋" w:cs="Times New Roman"/>
                <w:sz w:val="24"/>
                <w:szCs w:val="32"/>
              </w:rPr>
              <w:t xml:space="preserve"> 2019年10月，南京，江苏省人民医院，2019“一带一路”江苏消化疾病国际交流周(JSDDW)，大会嘉宾，主持。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⑷</w:t>
            </w:r>
            <w:r>
              <w:rPr>
                <w:rFonts w:ascii="Times New Roman" w:hAnsi="Times New Roman" w:eastAsia="仿宋" w:cs="Times New Roman"/>
                <w:sz w:val="24"/>
                <w:szCs w:val="32"/>
              </w:rPr>
              <w:t xml:space="preserve"> 2019年10月，石家庄，河北医科大学，2019河北省急性消化病学会学术年会，大会嘉宾，讲座。</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⑸</w:t>
            </w:r>
            <w:r>
              <w:rPr>
                <w:rFonts w:ascii="Times New Roman" w:hAnsi="Times New Roman" w:eastAsia="仿宋" w:cs="Times New Roman"/>
                <w:sz w:val="24"/>
                <w:szCs w:val="32"/>
              </w:rPr>
              <w:t xml:space="preserve"> 2019年10月，上海，上海长海医院，首届长海消化疾病和消化内镜周（CHDDW）2019上海市医学会消化内镜学术年会暨第22届全国超声内镜学术研讨会，大会嘉宾，主持。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⑹</w:t>
            </w:r>
            <w:r>
              <w:rPr>
                <w:rFonts w:ascii="Times New Roman" w:hAnsi="Times New Roman" w:eastAsia="仿宋" w:cs="Times New Roman"/>
                <w:sz w:val="24"/>
                <w:szCs w:val="32"/>
              </w:rPr>
              <w:t xml:space="preserve"> 2019年11月，北京，赵贵君主任参加第二届北京大学国际消化道肿瘤内镜会议，作为大会主持嘉宾发言并进行手术演示。</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⑺</w:t>
            </w:r>
            <w:r>
              <w:rPr>
                <w:rFonts w:ascii="Times New Roman" w:hAnsi="Times New Roman" w:eastAsia="仿宋" w:cs="Times New Roman"/>
                <w:sz w:val="24"/>
                <w:szCs w:val="32"/>
              </w:rPr>
              <w:t xml:space="preserve"> 2019年11月，南京，南京医科大学第二临床医学院，2019南京整合消化内镜学高峰论坛，大会嘉宾，主持。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⑻</w:t>
            </w:r>
            <w:r>
              <w:rPr>
                <w:rFonts w:ascii="Times New Roman" w:hAnsi="Times New Roman" w:eastAsia="仿宋" w:cs="Times New Roman"/>
                <w:sz w:val="24"/>
                <w:szCs w:val="32"/>
              </w:rPr>
              <w:t xml:space="preserve"> 2019年11月，南昌，南昌大学第一附属医院，第四届赣鄱整合消化病大户暨首届江西省消化疾病周，大会嘉宾，主持。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⑼</w:t>
            </w:r>
            <w:r>
              <w:rPr>
                <w:rFonts w:ascii="Times New Roman" w:hAnsi="Times New Roman" w:eastAsia="仿宋" w:cs="Times New Roman"/>
                <w:sz w:val="24"/>
                <w:szCs w:val="32"/>
              </w:rPr>
              <w:t xml:space="preserve"> 2019年12月，成都，华西医科大学，第四届全国医学人工智能大会及四川省医学会第二十三次消化内镜学术会议，赵贵君主任作为应邀嘉宾进行学术讲座。</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⑽</w:t>
            </w:r>
            <w:r>
              <w:rPr>
                <w:rFonts w:ascii="Times New Roman" w:hAnsi="Times New Roman" w:eastAsia="仿宋" w:cs="Times New Roman"/>
                <w:sz w:val="24"/>
                <w:szCs w:val="32"/>
              </w:rPr>
              <w:t xml:space="preserve"> 2019年12月，石家庄，河北医科大学，2019河北省消化内镜学术会议，大会嘉宾，讲座。</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⑾</w:t>
            </w:r>
            <w:r>
              <w:rPr>
                <w:rFonts w:ascii="Times New Roman" w:hAnsi="Times New Roman" w:eastAsia="仿宋" w:cs="Times New Roman"/>
                <w:sz w:val="24"/>
                <w:szCs w:val="32"/>
              </w:rPr>
              <w:t xml:space="preserve"> 2019年12月，天津，天津医科大学，第十届天津消化内镜和消化疾病大会,大会嘉宾，主持。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⑿</w:t>
            </w:r>
            <w:r>
              <w:rPr>
                <w:rFonts w:ascii="Times New Roman" w:hAnsi="Times New Roman" w:eastAsia="仿宋" w:cs="Times New Roman"/>
                <w:sz w:val="24"/>
                <w:szCs w:val="32"/>
              </w:rPr>
              <w:t xml:space="preserve"> 2019年12月，北京，中国医学科学院肿瘤医院，国家会议中心，第十五届世界食管疾病大会暨第七届国际消化道肿瘤早期诊断于早期治疗研讨会，大会嘉宾，主持。</w:t>
            </w:r>
          </w:p>
          <w:p>
            <w:pPr>
              <w:adjustRightInd w:val="0"/>
              <w:snapToGrid w:val="0"/>
              <w:spacing w:line="288" w:lineRule="auto"/>
              <w:rPr>
                <w:rFonts w:ascii="Times New Roman" w:hAnsi="Times New Roman" w:eastAsia="仿宋" w:cs="Times New Roman"/>
                <w:sz w:val="24"/>
                <w:szCs w:val="32"/>
              </w:rPr>
            </w:pPr>
            <w:r>
              <w:rPr>
                <w:rFonts w:hint="eastAsia" w:ascii="宋体" w:hAnsi="宋体" w:eastAsia="宋体" w:cs="宋体"/>
                <w:sz w:val="24"/>
                <w:szCs w:val="32"/>
              </w:rPr>
              <w:t>⒀</w:t>
            </w:r>
            <w:r>
              <w:rPr>
                <w:rFonts w:ascii="Times New Roman" w:hAnsi="Times New Roman" w:eastAsia="仿宋" w:cs="Times New Roman"/>
                <w:sz w:val="24"/>
                <w:szCs w:val="32"/>
              </w:rPr>
              <w:t xml:space="preserve"> 2020年7月，在线形式，南方医科大学南方医院，2020南方消化疾病及消化内镜国际论坛暨第十五届全国肠道疾病学术大会，结直肠学组年会，大会嘉宾，主持。</w:t>
            </w:r>
          </w:p>
          <w:p>
            <w:pPr>
              <w:adjustRightInd w:val="0"/>
              <w:snapToGrid w:val="0"/>
              <w:spacing w:after="240" w:line="288" w:lineRule="auto"/>
              <w:rPr>
                <w:rFonts w:ascii="Times New Roman" w:hAnsi="Times New Roman" w:eastAsia="仿宋" w:cs="Times New Roman"/>
                <w:sz w:val="24"/>
                <w:szCs w:val="32"/>
                <w:highlight w:val="yellow"/>
              </w:rPr>
            </w:pPr>
            <w:r>
              <w:rPr>
                <w:rFonts w:hint="eastAsia" w:ascii="宋体" w:hAnsi="宋体" w:eastAsia="宋体" w:cs="宋体"/>
                <w:sz w:val="24"/>
                <w:szCs w:val="32"/>
              </w:rPr>
              <w:t>⒁</w:t>
            </w:r>
            <w:r>
              <w:rPr>
                <w:rFonts w:ascii="Times New Roman" w:hAnsi="Times New Roman" w:eastAsia="仿宋" w:cs="Times New Roman"/>
                <w:sz w:val="24"/>
                <w:szCs w:val="32"/>
              </w:rPr>
              <w:t xml:space="preserve"> 2020年9月，在线形式，中华医学会和中华医学会消化内镜学分会，专题发言。</w:t>
            </w:r>
          </w:p>
          <w:p>
            <w:pPr>
              <w:numPr>
                <w:ilvl w:val="0"/>
                <w:numId w:val="3"/>
              </w:num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仪器设备等资源开放和共享情况；</w:t>
            </w:r>
          </w:p>
          <w:p>
            <w:pPr>
              <w:adjustRightInd w:val="0"/>
              <w:snapToGrid w:val="0"/>
              <w:spacing w:before="240" w:after="240" w:line="288" w:lineRule="auto"/>
              <w:ind w:firstLine="480" w:firstLineChars="200"/>
              <w:rPr>
                <w:rFonts w:ascii="Times New Roman" w:hAnsi="Times New Roman" w:eastAsia="仿宋" w:cs="Times New Roman"/>
                <w:sz w:val="24"/>
                <w:szCs w:val="32"/>
              </w:rPr>
            </w:pPr>
            <w:r>
              <w:rPr>
                <w:rFonts w:ascii="Times New Roman" w:hAnsi="Times New Roman" w:eastAsia="仿宋" w:cs="Times New Roman"/>
                <w:sz w:val="24"/>
                <w:szCs w:val="32"/>
              </w:rPr>
              <w:t>2019年面对全区内镜医生开放，举办实验动物</w:t>
            </w:r>
            <w:r>
              <w:rPr>
                <w:rFonts w:hint="eastAsia" w:ascii="Times New Roman" w:hAnsi="Times New Roman" w:eastAsia="仿宋" w:cs="Times New Roman"/>
                <w:sz w:val="24"/>
                <w:szCs w:val="32"/>
              </w:rPr>
              <w:t>‘</w:t>
            </w:r>
            <w:r>
              <w:rPr>
                <w:rFonts w:ascii="Times New Roman" w:hAnsi="Times New Roman" w:eastAsia="仿宋" w:cs="Times New Roman"/>
                <w:sz w:val="24"/>
                <w:szCs w:val="32"/>
              </w:rPr>
              <w:t>手把手</w:t>
            </w:r>
            <w:r>
              <w:rPr>
                <w:rFonts w:hint="eastAsia" w:ascii="Times New Roman" w:hAnsi="Times New Roman" w:eastAsia="仿宋" w:cs="Times New Roman"/>
                <w:sz w:val="24"/>
                <w:szCs w:val="32"/>
              </w:rPr>
              <w:t>’</w:t>
            </w:r>
            <w:r>
              <w:rPr>
                <w:rFonts w:ascii="Times New Roman" w:hAnsi="Times New Roman" w:eastAsia="仿宋" w:cs="Times New Roman"/>
                <w:sz w:val="24"/>
                <w:szCs w:val="32"/>
              </w:rPr>
              <w:t>高级内镜手术培训班3期，每期8*2人。</w:t>
            </w:r>
          </w:p>
          <w:p>
            <w:pPr>
              <w:adjustRightInd w:val="0"/>
              <w:snapToGrid w:val="0"/>
              <w:spacing w:line="288" w:lineRule="auto"/>
              <w:rPr>
                <w:rFonts w:ascii="Times New Roman" w:hAnsi="Times New Roman" w:eastAsia="仿宋" w:cs="Times New Roman"/>
                <w:sz w:val="24"/>
                <w:szCs w:val="32"/>
              </w:rPr>
            </w:pPr>
            <w:r>
              <w:rPr>
                <w:rFonts w:ascii="Times New Roman" w:hAnsi="Times New Roman" w:eastAsia="仿宋" w:cs="Times New Roman"/>
                <w:sz w:val="24"/>
                <w:szCs w:val="32"/>
              </w:rPr>
              <w:t>（3）实验室开展科学知识传播的情况，尤其是向社会公众特别是学生开放的情况。</w:t>
            </w:r>
          </w:p>
          <w:p>
            <w:pPr>
              <w:adjustRightInd w:val="0"/>
              <w:snapToGrid w:val="0"/>
              <w:spacing w:before="240" w:after="240" w:line="288" w:lineRule="auto"/>
              <w:ind w:firstLine="480" w:firstLineChars="200"/>
              <w:rPr>
                <w:rFonts w:ascii="Times New Roman" w:hAnsi="Times New Roman" w:eastAsia="仿宋" w:cs="Times New Roman"/>
                <w:sz w:val="24"/>
                <w:szCs w:val="32"/>
              </w:rPr>
            </w:pPr>
            <w:r>
              <w:rPr>
                <w:rFonts w:ascii="Times New Roman" w:hAnsi="Times New Roman" w:eastAsia="仿宋" w:cs="Times New Roman"/>
                <w:sz w:val="24"/>
                <w:szCs w:val="32"/>
              </w:rPr>
              <w:t>实验室在承担科研、教学任务的同时，积极履行作为科研机构的科学传播义务，积极配合权威公众媒体开展科普宣传，传播科学知识和科学精神。内蒙古卫视《晚间报道》频道以</w:t>
            </w:r>
            <w:r>
              <w:rPr>
                <w:rFonts w:hint="eastAsia" w:ascii="Times New Roman" w:hAnsi="Times New Roman" w:eastAsia="仿宋" w:cs="Times New Roman"/>
                <w:sz w:val="24"/>
                <w:szCs w:val="32"/>
              </w:rPr>
              <w:t>“</w:t>
            </w:r>
            <w:r>
              <w:rPr>
                <w:rFonts w:ascii="Times New Roman" w:hAnsi="Times New Roman" w:eastAsia="仿宋" w:cs="Times New Roman"/>
                <w:sz w:val="24"/>
                <w:szCs w:val="32"/>
              </w:rPr>
              <w:t>新生活新变化，识别病灶有了好帮手</w:t>
            </w:r>
            <w:r>
              <w:rPr>
                <w:rFonts w:hint="eastAsia" w:ascii="Times New Roman" w:hAnsi="Times New Roman" w:eastAsia="仿宋" w:cs="Times New Roman"/>
                <w:sz w:val="24"/>
                <w:szCs w:val="32"/>
              </w:rPr>
              <w:t>”</w:t>
            </w:r>
            <w:r>
              <w:rPr>
                <w:rFonts w:ascii="Times New Roman" w:hAnsi="Times New Roman" w:eastAsia="仿宋" w:cs="Times New Roman"/>
                <w:sz w:val="24"/>
                <w:szCs w:val="32"/>
              </w:rPr>
              <w:t>为题报道了人工智能技术构建出的肠道疾病模型在临床中应用。建立微信公众号，向全社会传播、普及消化系疾病相关知识，包括疾病诊断、发展和治疗，弘扬科学精神，在提升科技创新能力的同时，积极发挥科普职能，不断加强科学技术普及力度，推进科普能力建设、优化科普环境、提升公众的科普素质。</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2.管理体制与运行机制</w:t>
      </w:r>
    </w:p>
    <w:tbl>
      <w:tblPr>
        <w:tblStyle w:val="1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527" w:type="dxa"/>
          </w:tcPr>
          <w:p>
            <w:pPr>
              <w:numPr>
                <w:ilvl w:val="0"/>
                <w:numId w:val="4"/>
              </w:numPr>
              <w:adjustRightInd w:val="0"/>
              <w:snapToGrid w:val="0"/>
              <w:spacing w:line="288" w:lineRule="auto"/>
              <w:rPr>
                <w:rFonts w:ascii="仿宋" w:hAnsi="仿宋" w:eastAsia="仿宋" w:cs="Times New Roman"/>
                <w:sz w:val="24"/>
                <w:szCs w:val="32"/>
              </w:rPr>
            </w:pPr>
            <w:r>
              <w:rPr>
                <w:rFonts w:hint="eastAsia" w:ascii="仿宋" w:hAnsi="仿宋" w:eastAsia="仿宋" w:cs="Times New Roman"/>
                <w:sz w:val="24"/>
                <w:szCs w:val="32"/>
              </w:rPr>
              <w:t>简述实验室的运行模式（相对独立的科研实体/纳入依托单位统一管理）。简述</w:t>
            </w:r>
            <w:r>
              <w:rPr>
                <w:rFonts w:ascii="仿宋" w:hAnsi="仿宋" w:eastAsia="仿宋" w:cs="Times New Roman"/>
                <w:sz w:val="24"/>
                <w:szCs w:val="32"/>
              </w:rPr>
              <w:t>实验室日常运行管理、管理制度建设及实施效果；年度报告编制与档案管理</w:t>
            </w:r>
            <w:r>
              <w:rPr>
                <w:rFonts w:hint="eastAsia" w:ascii="仿宋" w:hAnsi="仿宋" w:eastAsia="仿宋" w:cs="Times New Roman"/>
                <w:sz w:val="24"/>
                <w:szCs w:val="32"/>
              </w:rPr>
              <w:t>情况；</w:t>
            </w:r>
          </w:p>
          <w:p>
            <w:pPr>
              <w:adjustRightInd w:val="0"/>
              <w:snapToGrid w:val="0"/>
              <w:spacing w:before="240" w:line="288" w:lineRule="auto"/>
              <w:ind w:firstLine="480"/>
              <w:rPr>
                <w:rFonts w:ascii="Times New Roman" w:hAnsi="Times New Roman" w:eastAsia="仿宋" w:cs="Times New Roman"/>
                <w:sz w:val="24"/>
                <w:szCs w:val="32"/>
              </w:rPr>
            </w:pPr>
            <w:r>
              <w:rPr>
                <w:rFonts w:ascii="Times New Roman" w:hAnsi="Times New Roman" w:eastAsia="仿宋" w:cs="Times New Roman"/>
                <w:sz w:val="24"/>
                <w:szCs w:val="32"/>
              </w:rPr>
              <w:t>实验室实行依托单位领导下的主任负责制，实行人财物相对独立的管理机制和</w:t>
            </w:r>
            <w:r>
              <w:rPr>
                <w:rFonts w:hint="eastAsia" w:ascii="Times New Roman" w:hAnsi="Times New Roman" w:eastAsia="仿宋" w:cs="Times New Roman"/>
                <w:sz w:val="24"/>
                <w:szCs w:val="32"/>
              </w:rPr>
              <w:t>“</w:t>
            </w:r>
            <w:r>
              <w:rPr>
                <w:rFonts w:ascii="Times New Roman" w:hAnsi="Times New Roman" w:eastAsia="仿宋" w:cs="Times New Roman"/>
                <w:sz w:val="24"/>
                <w:szCs w:val="32"/>
              </w:rPr>
              <w:t>开放、流动、联合、竞争</w:t>
            </w:r>
            <w:r>
              <w:rPr>
                <w:rFonts w:hint="eastAsia" w:ascii="Times New Roman" w:hAnsi="Times New Roman" w:eastAsia="仿宋" w:cs="Times New Roman"/>
                <w:sz w:val="24"/>
                <w:szCs w:val="32"/>
              </w:rPr>
              <w:t>”</w:t>
            </w:r>
            <w:r>
              <w:rPr>
                <w:rFonts w:ascii="Times New Roman" w:hAnsi="Times New Roman" w:eastAsia="仿宋" w:cs="Times New Roman"/>
                <w:sz w:val="24"/>
                <w:szCs w:val="32"/>
              </w:rPr>
              <w:t>的运行机制。深入落实《内蒙古自治区党委自治区人民政府印发关于加快推进</w:t>
            </w:r>
            <w:r>
              <w:rPr>
                <w:rFonts w:hint="eastAsia" w:ascii="Times New Roman" w:hAnsi="Times New Roman" w:eastAsia="仿宋" w:cs="Times New Roman"/>
                <w:sz w:val="24"/>
                <w:szCs w:val="32"/>
              </w:rPr>
              <w:t>“</w:t>
            </w:r>
            <w:r>
              <w:rPr>
                <w:rFonts w:ascii="Times New Roman" w:hAnsi="Times New Roman" w:eastAsia="仿宋" w:cs="Times New Roman"/>
                <w:sz w:val="24"/>
                <w:szCs w:val="32"/>
              </w:rPr>
              <w:t>科技兴蒙</w:t>
            </w:r>
            <w:r>
              <w:rPr>
                <w:rFonts w:hint="eastAsia" w:ascii="Times New Roman" w:hAnsi="Times New Roman" w:eastAsia="仿宋" w:cs="Times New Roman"/>
                <w:sz w:val="24"/>
                <w:szCs w:val="32"/>
              </w:rPr>
              <w:t>”</w:t>
            </w:r>
            <w:r>
              <w:rPr>
                <w:rFonts w:ascii="Times New Roman" w:hAnsi="Times New Roman" w:eastAsia="仿宋" w:cs="Times New Roman"/>
                <w:sz w:val="24"/>
                <w:szCs w:val="32"/>
              </w:rPr>
              <w:t>行动支持科技创新若干政策措施的通知》</w:t>
            </w:r>
            <w:r>
              <w:rPr>
                <w:rFonts w:hint="eastAsia" w:ascii="Times New Roman" w:hAnsi="Times New Roman" w:eastAsia="仿宋" w:cs="Times New Roman"/>
                <w:sz w:val="24"/>
                <w:szCs w:val="32"/>
              </w:rPr>
              <w:t>（</w:t>
            </w:r>
            <w:r>
              <w:rPr>
                <w:rFonts w:ascii="Times New Roman" w:hAnsi="Times New Roman" w:eastAsia="仿宋" w:cs="Times New Roman"/>
                <w:sz w:val="24"/>
                <w:szCs w:val="32"/>
              </w:rPr>
              <w:t>内党发</w:t>
            </w:r>
            <w:r>
              <w:rPr>
                <w:rFonts w:hint="eastAsia" w:ascii="Times New Roman" w:hAnsi="Times New Roman" w:eastAsia="仿宋" w:cs="Times New Roman"/>
                <w:sz w:val="24"/>
                <w:szCs w:val="32"/>
              </w:rPr>
              <w:t>[</w:t>
            </w:r>
            <w:r>
              <w:rPr>
                <w:rFonts w:ascii="Times New Roman" w:hAnsi="Times New Roman" w:eastAsia="仿宋" w:cs="Times New Roman"/>
                <w:sz w:val="24"/>
                <w:szCs w:val="32"/>
              </w:rPr>
              <w:t>2020]17号</w:t>
            </w:r>
            <w:r>
              <w:rPr>
                <w:rFonts w:hint="eastAsia" w:ascii="Times New Roman" w:hAnsi="Times New Roman" w:eastAsia="仿宋" w:cs="Times New Roman"/>
                <w:sz w:val="24"/>
                <w:szCs w:val="32"/>
              </w:rPr>
              <w:t>）</w:t>
            </w:r>
            <w:r>
              <w:rPr>
                <w:rFonts w:ascii="Times New Roman" w:hAnsi="Times New Roman" w:eastAsia="仿宋" w:cs="Times New Roman"/>
                <w:sz w:val="24"/>
                <w:szCs w:val="32"/>
              </w:rPr>
              <w:t>和《内蒙古自治区人民政府关于全面加强基础科学研究的实施意见》(内政发[2018]39号)的有关要求</w:t>
            </w:r>
            <w:r>
              <w:rPr>
                <w:rFonts w:hint="eastAsia" w:ascii="Times New Roman" w:hAnsi="Times New Roman" w:eastAsia="仿宋" w:cs="Times New Roman"/>
                <w:sz w:val="24"/>
                <w:szCs w:val="32"/>
              </w:rPr>
              <w:t>，认真遵照</w:t>
            </w:r>
            <w:r>
              <w:rPr>
                <w:rFonts w:ascii="Times New Roman" w:hAnsi="Times New Roman" w:eastAsia="仿宋" w:cs="Times New Roman"/>
                <w:sz w:val="24"/>
                <w:szCs w:val="32"/>
              </w:rPr>
              <w:t>《内蒙古自治区重点实验室建设与运行管理办法（试行）》（内科发基字</w:t>
            </w:r>
            <w:r>
              <w:rPr>
                <w:rFonts w:hint="eastAsia" w:ascii="Times New Roman" w:hAnsi="Times New Roman" w:eastAsia="仿宋" w:cs="Times New Roman"/>
                <w:sz w:val="24"/>
                <w:szCs w:val="32"/>
              </w:rPr>
              <w:t>[</w:t>
            </w:r>
            <w:r>
              <w:rPr>
                <w:rFonts w:ascii="Times New Roman" w:hAnsi="Times New Roman" w:eastAsia="仿宋" w:cs="Times New Roman"/>
                <w:sz w:val="24"/>
                <w:szCs w:val="32"/>
              </w:rPr>
              <w:t>2021]4号），规范和加强实验室建设与运行管理</w:t>
            </w:r>
            <w:r>
              <w:rPr>
                <w:rFonts w:hint="eastAsia" w:ascii="Times New Roman" w:hAnsi="Times New Roman" w:eastAsia="仿宋" w:cs="Times New Roman"/>
                <w:sz w:val="24"/>
                <w:szCs w:val="32"/>
              </w:rPr>
              <w:t>。</w:t>
            </w:r>
          </w:p>
          <w:p>
            <w:pPr>
              <w:adjustRightInd w:val="0"/>
              <w:snapToGrid w:val="0"/>
              <w:spacing w:line="288" w:lineRule="auto"/>
              <w:ind w:firstLine="480"/>
              <w:rPr>
                <w:rFonts w:ascii="Times New Roman" w:hAnsi="Times New Roman" w:eastAsia="仿宋" w:cs="Times New Roman"/>
                <w:sz w:val="24"/>
                <w:szCs w:val="32"/>
              </w:rPr>
            </w:pPr>
            <w:r>
              <w:rPr>
                <w:rFonts w:hint="eastAsia" w:ascii="Times New Roman" w:hAnsi="Times New Roman" w:eastAsia="仿宋" w:cs="Times New Roman"/>
                <w:sz w:val="24"/>
                <w:szCs w:val="32"/>
              </w:rPr>
              <w:t>实验室主任由依托单位聘任，报自治区科技厅备案，是内镜消化肿瘤领域高水平的学术带头人。实验室主任全面负责实验室管理工作，包括实验室日常运行管理，科研项目立项，运行经费的使用管理，设备更新、购置，人员调配以及协调国内外多方交流合作，打造良好的科研平台和浓厚的学术氛围。实验室设立秘书岗位，协助处理日常运行管理和对外联络、年度报告编制与档案管理等相关事宜。</w:t>
            </w:r>
          </w:p>
          <w:p>
            <w:pPr>
              <w:adjustRightInd w:val="0"/>
              <w:snapToGrid w:val="0"/>
              <w:spacing w:after="240" w:line="288" w:lineRule="auto"/>
              <w:ind w:firstLine="480"/>
              <w:rPr>
                <w:rFonts w:ascii="Times New Roman" w:hAnsi="Times New Roman" w:eastAsia="仿宋" w:cs="Times New Roman"/>
                <w:sz w:val="24"/>
                <w:szCs w:val="32"/>
              </w:rPr>
            </w:pPr>
            <w:r>
              <w:rPr>
                <w:rFonts w:ascii="Times New Roman" w:hAnsi="Times New Roman" w:eastAsia="仿宋" w:cs="Times New Roman"/>
                <w:sz w:val="24"/>
                <w:szCs w:val="32"/>
              </w:rPr>
              <w:t>为了加强实验室科学化、规范化管理，建立健全实验室工作制度、工作人员管理制度、学术委员会工作章程、实验室安全管理制度、实验室经费管理制度、实验室生物安全防护管理制度、实验废弃物处理制度、化学危险品管理制度、仪器设备管理制度、学术成果权属管理制度、学术道德规范及学术不端行为处理制度、安全和保卫制度、科技成果转化管理条例等多项规章制度。对于科研项目管理、经费使用和科技奖励的规定，同时遵照《内蒙古自治区人民医院科研项目管理办法》(内医院字[2019]177号)，《内蒙古自治区人民医院科研经费管理办法》(内医院字[2019]178号)和《内蒙古自治区人民医院科技奖惩办法（2017修订）》（内医院字[2017]168号）执行，鼓励引导科研人员积极开展科学研究和学术、技术创新。</w:t>
            </w:r>
          </w:p>
          <w:p>
            <w:pPr>
              <w:numPr>
                <w:ilvl w:val="0"/>
                <w:numId w:val="4"/>
              </w:numPr>
              <w:adjustRightInd w:val="0"/>
              <w:snapToGrid w:val="0"/>
              <w:spacing w:line="288" w:lineRule="auto"/>
              <w:rPr>
                <w:rFonts w:ascii="仿宋" w:hAnsi="仿宋" w:eastAsia="仿宋" w:cs="Times New Roman"/>
                <w:sz w:val="24"/>
                <w:szCs w:val="32"/>
              </w:rPr>
            </w:pPr>
            <w:r>
              <w:rPr>
                <w:rFonts w:hint="eastAsia" w:ascii="仿宋" w:hAnsi="仿宋" w:eastAsia="仿宋" w:cs="Times New Roman"/>
                <w:sz w:val="24"/>
                <w:szCs w:val="32"/>
              </w:rPr>
              <w:t>简述学术委员会成员情况、</w:t>
            </w:r>
            <w:r>
              <w:rPr>
                <w:rFonts w:ascii="仿宋" w:hAnsi="仿宋" w:eastAsia="仿宋" w:cs="Times New Roman"/>
                <w:sz w:val="24"/>
                <w:szCs w:val="32"/>
              </w:rPr>
              <w:t>学术委员会开展工作情况与效果；</w:t>
            </w:r>
          </w:p>
          <w:p>
            <w:pPr>
              <w:adjustRightInd w:val="0"/>
              <w:snapToGrid w:val="0"/>
              <w:spacing w:before="240" w:line="288" w:lineRule="auto"/>
              <w:ind w:firstLine="480" w:firstLineChars="200"/>
              <w:rPr>
                <w:rFonts w:ascii="仿宋" w:hAnsi="仿宋" w:eastAsia="仿宋" w:cs="Times New Roman"/>
                <w:sz w:val="24"/>
                <w:szCs w:val="32"/>
              </w:rPr>
            </w:pPr>
            <w:r>
              <w:rPr>
                <w:rFonts w:hint="eastAsia" w:ascii="仿宋" w:hAnsi="仿宋" w:eastAsia="仿宋" w:cs="Times New Roman"/>
                <w:sz w:val="24"/>
                <w:szCs w:val="32"/>
              </w:rPr>
              <w:t>学术委员会是实验室的学术指导与评审机构，由国内消化内科学及内镜学，肿瘤学知名同行科学家组成。学术委员会设主任</w:t>
            </w:r>
            <w:r>
              <w:rPr>
                <w:rFonts w:ascii="仿宋" w:hAnsi="仿宋" w:eastAsia="仿宋" w:cs="Times New Roman"/>
                <w:sz w:val="24"/>
                <w:szCs w:val="32"/>
              </w:rPr>
              <w:t>1</w:t>
            </w:r>
            <w:r>
              <w:rPr>
                <w:rFonts w:hint="eastAsia" w:ascii="仿宋" w:hAnsi="仿宋" w:eastAsia="仿宋" w:cs="Times New Roman"/>
                <w:sz w:val="24"/>
                <w:szCs w:val="32"/>
              </w:rPr>
              <w:t>人</w:t>
            </w:r>
            <w:r>
              <w:rPr>
                <w:rFonts w:ascii="仿宋" w:hAnsi="仿宋" w:eastAsia="仿宋" w:cs="Times New Roman"/>
                <w:sz w:val="24"/>
                <w:szCs w:val="32"/>
              </w:rPr>
              <w:t>，副主任</w:t>
            </w:r>
            <w:r>
              <w:rPr>
                <w:rFonts w:hint="eastAsia" w:ascii="仿宋" w:hAnsi="仿宋" w:eastAsia="仿宋" w:cs="Times New Roman"/>
                <w:sz w:val="24"/>
                <w:szCs w:val="32"/>
              </w:rPr>
              <w:t>2人</w:t>
            </w:r>
            <w:r>
              <w:rPr>
                <w:rFonts w:ascii="仿宋" w:hAnsi="仿宋" w:eastAsia="仿宋" w:cs="Times New Roman"/>
                <w:sz w:val="24"/>
                <w:szCs w:val="32"/>
              </w:rPr>
              <w:t>，委员</w:t>
            </w:r>
            <w:r>
              <w:rPr>
                <w:rFonts w:hint="eastAsia" w:ascii="仿宋" w:hAnsi="仿宋" w:eastAsia="仿宋" w:cs="Times New Roman"/>
                <w:sz w:val="24"/>
                <w:szCs w:val="32"/>
              </w:rPr>
              <w:t>4</w:t>
            </w:r>
            <w:r>
              <w:rPr>
                <w:rFonts w:ascii="仿宋" w:hAnsi="仿宋" w:eastAsia="仿宋" w:cs="Times New Roman"/>
                <w:sz w:val="24"/>
                <w:szCs w:val="32"/>
              </w:rPr>
              <w:t>人。</w:t>
            </w:r>
          </w:p>
          <w:p>
            <w:pPr>
              <w:adjustRightInd w:val="0"/>
              <w:snapToGrid w:val="0"/>
              <w:spacing w:after="240" w:line="288" w:lineRule="auto"/>
              <w:rPr>
                <w:rFonts w:ascii="仿宋" w:hAnsi="仿宋" w:eastAsia="仿宋" w:cs="Times New Roman"/>
                <w:sz w:val="24"/>
                <w:szCs w:val="32"/>
              </w:rPr>
            </w:pPr>
            <w:r>
              <w:rPr>
                <w:rFonts w:hint="eastAsia" w:ascii="仿宋" w:hAnsi="仿宋" w:eastAsia="仿宋" w:cs="Times New Roman"/>
                <w:sz w:val="24"/>
                <w:szCs w:val="32"/>
              </w:rPr>
              <w:t>学术委员会委员的特长涵盖医学基础及临床不同学科领域，以保证学术委员会能从相关领域的不同学术角度对实验室的研究方向和工作内容实施有效指导。</w:t>
            </w:r>
            <w:r>
              <w:rPr>
                <w:rFonts w:ascii="仿宋" w:hAnsi="仿宋" w:eastAsia="仿宋" w:cs="Times New Roman"/>
                <w:sz w:val="24"/>
                <w:szCs w:val="32"/>
              </w:rPr>
              <w:t xml:space="preserve"> </w:t>
            </w:r>
            <w:r>
              <w:rPr>
                <w:rFonts w:hint="eastAsia" w:ascii="仿宋" w:hAnsi="仿宋" w:eastAsia="仿宋" w:cs="Times New Roman"/>
                <w:sz w:val="24"/>
                <w:szCs w:val="32"/>
              </w:rPr>
              <w:t>学术委员会通过会议或是通讯评议的方式，审议和确定实验室及所属学科的研究方向、学科布局和近、中、长期发展规划；</w:t>
            </w:r>
            <w:r>
              <w:rPr>
                <w:rFonts w:ascii="仿宋" w:hAnsi="仿宋" w:eastAsia="仿宋" w:cs="Times New Roman"/>
                <w:sz w:val="24"/>
                <w:szCs w:val="32"/>
              </w:rPr>
              <w:t>指导和审议重大学术活动；评议实验室运行及研究成果；审定实验室的年度报告和工作总结，检查实验室的项目组织管理工作；审查和建议与实验室有关的重要学术活动</w:t>
            </w:r>
            <w:r>
              <w:rPr>
                <w:rFonts w:hint="eastAsia" w:ascii="仿宋" w:hAnsi="仿宋" w:eastAsia="仿宋" w:cs="Times New Roman"/>
                <w:sz w:val="24"/>
                <w:szCs w:val="32"/>
              </w:rPr>
              <w:t>；</w:t>
            </w:r>
            <w:r>
              <w:rPr>
                <w:rFonts w:ascii="仿宋" w:hAnsi="仿宋" w:eastAsia="仿宋" w:cs="Times New Roman"/>
                <w:sz w:val="24"/>
                <w:szCs w:val="32"/>
              </w:rPr>
              <w:t>对实验室主任及实验室工作进行评估，并提出改进实验室工作的建议</w:t>
            </w:r>
            <w:r>
              <w:rPr>
                <w:rFonts w:hint="eastAsia" w:ascii="仿宋" w:hAnsi="仿宋" w:eastAsia="仿宋" w:cs="Times New Roman"/>
                <w:sz w:val="24"/>
                <w:szCs w:val="32"/>
              </w:rPr>
              <w:t>；</w:t>
            </w:r>
            <w:r>
              <w:rPr>
                <w:rFonts w:ascii="仿宋" w:hAnsi="仿宋" w:eastAsia="仿宋" w:cs="Times New Roman"/>
                <w:sz w:val="24"/>
                <w:szCs w:val="32"/>
              </w:rPr>
              <w:t>通过讲学、互派研究人员等多种形式支持实验室的研究工作</w:t>
            </w:r>
            <w:r>
              <w:rPr>
                <w:rFonts w:hint="eastAsia" w:ascii="仿宋" w:hAnsi="仿宋" w:eastAsia="仿宋" w:cs="Times New Roman"/>
                <w:sz w:val="24"/>
                <w:szCs w:val="32"/>
              </w:rPr>
              <w:t>；</w:t>
            </w:r>
            <w:r>
              <w:rPr>
                <w:rFonts w:ascii="仿宋" w:hAnsi="仿宋" w:eastAsia="仿宋" w:cs="Times New Roman"/>
                <w:sz w:val="24"/>
                <w:szCs w:val="32"/>
              </w:rPr>
              <w:t>指导审定实验室开放课题基金指南</w:t>
            </w:r>
            <w:r>
              <w:rPr>
                <w:rFonts w:hint="eastAsia" w:ascii="仿宋" w:hAnsi="仿宋" w:eastAsia="仿宋" w:cs="Times New Roman"/>
                <w:sz w:val="24"/>
                <w:szCs w:val="32"/>
              </w:rPr>
              <w:t>等。</w:t>
            </w:r>
            <w:r>
              <w:rPr>
                <w:rFonts w:ascii="仿宋" w:hAnsi="仿宋" w:eastAsia="仿宋" w:cs="Times New Roman"/>
                <w:sz w:val="24"/>
                <w:szCs w:val="32"/>
              </w:rPr>
              <w:t>会</w:t>
            </w:r>
            <w:r>
              <w:rPr>
                <w:rFonts w:hint="eastAsia" w:ascii="仿宋" w:hAnsi="仿宋" w:eastAsia="仿宋" w:cs="Times New Roman"/>
                <w:sz w:val="24"/>
                <w:szCs w:val="32"/>
              </w:rPr>
              <w:t>议结束后</w:t>
            </w:r>
            <w:r>
              <w:rPr>
                <w:rFonts w:ascii="仿宋" w:hAnsi="仿宋" w:eastAsia="仿宋" w:cs="Times New Roman"/>
                <w:sz w:val="24"/>
                <w:szCs w:val="32"/>
              </w:rPr>
              <w:t>2周内应形成会议纪要。平时使用各种通讯方式与实验室保持紧密联系。</w:t>
            </w:r>
            <w:r>
              <w:rPr>
                <w:rFonts w:hint="eastAsia" w:ascii="仿宋" w:hAnsi="仿宋" w:eastAsia="仿宋" w:cs="Times New Roman"/>
                <w:sz w:val="24"/>
                <w:szCs w:val="32"/>
              </w:rPr>
              <w:t>目前，就香港中文大学牵头的多中心随机对照研究合作项目</w:t>
            </w:r>
            <w:r>
              <w:rPr>
                <w:rFonts w:ascii="Times New Roman" w:hAnsi="Times New Roman" w:eastAsia="仿宋" w:cs="Times New Roman"/>
                <w:sz w:val="24"/>
                <w:szCs w:val="32"/>
              </w:rPr>
              <w:t>，先后召开5次学术委员会会议，针对人工智能肠镜辅助诊断多中心临床研究立项方案、</w:t>
            </w:r>
            <w:r>
              <w:rPr>
                <w:rFonts w:hint="eastAsia" w:ascii="仿宋" w:hAnsi="仿宋" w:eastAsia="仿宋" w:cs="Times New Roman"/>
                <w:sz w:val="24"/>
                <w:szCs w:val="32"/>
              </w:rPr>
              <w:t>医学伦理、患者入组和实施过程中遇到的问题进行详细讨论，保证此项国际合作交流项目顺利开展。</w:t>
            </w:r>
          </w:p>
          <w:p>
            <w:pPr>
              <w:numPr>
                <w:ilvl w:val="0"/>
                <w:numId w:val="4"/>
              </w:numPr>
              <w:adjustRightInd w:val="0"/>
              <w:snapToGrid w:val="0"/>
              <w:spacing w:line="288" w:lineRule="auto"/>
              <w:rPr>
                <w:rFonts w:ascii="仿宋" w:hAnsi="仿宋" w:eastAsia="仿宋" w:cs="Times New Roman"/>
                <w:sz w:val="24"/>
                <w:szCs w:val="32"/>
              </w:rPr>
            </w:pPr>
            <w:r>
              <w:rPr>
                <w:rFonts w:hint="eastAsia" w:ascii="仿宋" w:hAnsi="仿宋" w:eastAsia="仿宋" w:cs="Times New Roman"/>
                <w:sz w:val="24"/>
                <w:szCs w:val="32"/>
              </w:rPr>
              <w:t>简述依托单位在人才引进、研究生招生、实验室场地、岗位津贴分配、经费和后勤等方面对实验室的政策措施与保障。</w:t>
            </w:r>
          </w:p>
          <w:p>
            <w:pPr>
              <w:adjustRightInd w:val="0"/>
              <w:snapToGrid w:val="0"/>
              <w:spacing w:before="240" w:after="240" w:line="288" w:lineRule="auto"/>
              <w:ind w:firstLine="480"/>
              <w:rPr>
                <w:rFonts w:ascii="Times New Roman" w:hAnsi="Times New Roman" w:eastAsia="仿宋" w:cs="Times New Roman"/>
                <w:sz w:val="24"/>
                <w:szCs w:val="32"/>
              </w:rPr>
            </w:pPr>
            <w:r>
              <w:rPr>
                <w:rFonts w:ascii="Times New Roman" w:hAnsi="Times New Roman" w:eastAsia="仿宋" w:cs="Times New Roman"/>
                <w:sz w:val="24"/>
                <w:szCs w:val="32"/>
              </w:rPr>
              <w:t>在人才引进方面，根据自治区政府出台的《内蒙古自治区人才引进和流动实施办法》（内政发[2017]77号）文件精神遵照执行。自实验室成立，引进多名消化内镜专业人才和研究人员加入实验室，并给予一定科研启动基金。为支持年轻科研人员独立承担和完成项目，设立院内基金青年项目，对有创新性的科学问题和可行性的研究方案给予一定经费支持。为鼓励引导积极开展科学研究和学术、技术创新，培养一批自治区领先、国内一流的优秀人才和创新团队，加速提升医院发展的核心竞争力，对于取得一定科技成果的研究人员颁发科研奖励。同时，研究生招生遵照我国研究生招生政策执行。医院场地紧张，但是依然提供了1500平方米实验室场地，大力支持实验室的基础条件建设。</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3.实验室文化</w:t>
      </w:r>
    </w:p>
    <w:tbl>
      <w:tblPr>
        <w:tblStyle w:val="1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527" w:type="dxa"/>
          </w:tcPr>
          <w:p>
            <w:pPr>
              <w:adjustRightInd w:val="0"/>
              <w:snapToGrid w:val="0"/>
              <w:spacing w:line="288" w:lineRule="auto"/>
              <w:ind w:firstLine="480" w:firstLineChars="200"/>
              <w:rPr>
                <w:rFonts w:ascii="仿宋" w:hAnsi="仿宋" w:eastAsia="仿宋" w:cs="Times New Roman"/>
                <w:sz w:val="24"/>
                <w:szCs w:val="28"/>
              </w:rPr>
            </w:pPr>
            <w:r>
              <w:rPr>
                <w:rFonts w:hint="eastAsia" w:ascii="仿宋" w:hAnsi="仿宋" w:eastAsia="仿宋" w:cs="Times New Roman"/>
                <w:sz w:val="24"/>
                <w:szCs w:val="28"/>
              </w:rPr>
              <w:t>简述实验室创新文化</w:t>
            </w:r>
            <w:r>
              <w:rPr>
                <w:rFonts w:ascii="仿宋" w:hAnsi="仿宋" w:eastAsia="仿宋" w:cs="Times New Roman"/>
                <w:sz w:val="24"/>
                <w:szCs w:val="28"/>
              </w:rPr>
              <w:t>和学风建设成效</w:t>
            </w:r>
            <w:r>
              <w:rPr>
                <w:rFonts w:hint="eastAsia" w:ascii="仿宋" w:hAnsi="仿宋" w:eastAsia="仿宋" w:cs="Times New Roman"/>
                <w:sz w:val="24"/>
                <w:szCs w:val="28"/>
              </w:rPr>
              <w:t>。</w:t>
            </w:r>
          </w:p>
          <w:p>
            <w:pPr>
              <w:adjustRightInd w:val="0"/>
              <w:snapToGrid w:val="0"/>
              <w:spacing w:before="240" w:line="288" w:lineRule="auto"/>
              <w:ind w:firstLine="480" w:firstLineChars="200"/>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实验室在筹建和建设过程中，始终把创新文化和学风建设摆在首位。创新文化要包括以创新精神为核心的价值观，要具有有利于科技创新的思想、态度和信念。要具有</w:t>
            </w:r>
            <w:r>
              <w:rPr>
                <w:rFonts w:ascii="Times New Roman" w:hAnsi="Times New Roman" w:eastAsia="仿宋_GB2312" w:cs="Times New Roman"/>
                <w:sz w:val="24"/>
                <w:szCs w:val="32"/>
              </w:rPr>
              <w:t>勇于探索、坚韧不拔的个性</w:t>
            </w:r>
            <w:r>
              <w:rPr>
                <w:rFonts w:hint="eastAsia" w:ascii="Times New Roman" w:hAnsi="Times New Roman" w:eastAsia="仿宋_GB2312" w:cs="Times New Roman"/>
                <w:sz w:val="24"/>
                <w:szCs w:val="32"/>
              </w:rPr>
              <w:t>，</w:t>
            </w:r>
            <w:r>
              <w:rPr>
                <w:rFonts w:ascii="Times New Roman" w:hAnsi="Times New Roman" w:eastAsia="仿宋_GB2312" w:cs="Times New Roman"/>
                <w:sz w:val="24"/>
                <w:szCs w:val="32"/>
              </w:rPr>
              <w:t>求异、置疑、批判的思维方式</w:t>
            </w:r>
            <w:r>
              <w:rPr>
                <w:rFonts w:hint="eastAsia" w:ascii="Times New Roman" w:hAnsi="Times New Roman" w:eastAsia="仿宋_GB2312" w:cs="Times New Roman"/>
                <w:sz w:val="24"/>
                <w:szCs w:val="32"/>
              </w:rPr>
              <w:t>，</w:t>
            </w:r>
            <w:r>
              <w:rPr>
                <w:rFonts w:ascii="Times New Roman" w:hAnsi="Times New Roman" w:eastAsia="仿宋_GB2312" w:cs="Times New Roman"/>
                <w:sz w:val="24"/>
                <w:szCs w:val="32"/>
              </w:rPr>
              <w:t>求真、唯实、严谨的工作作风和开放、合作、交流的行为方式等内容及实验室有利于创新的规章制度、工作条件及社会氛围等外部环境因素。</w:t>
            </w:r>
            <w:r>
              <w:rPr>
                <w:rFonts w:hint="eastAsia" w:ascii="Times New Roman" w:hAnsi="Times New Roman" w:eastAsia="仿宋_GB2312" w:cs="Times New Roman"/>
                <w:sz w:val="24"/>
                <w:szCs w:val="32"/>
              </w:rPr>
              <w:t>实验室作为自治区科技创新体系的重要组成部分，有利于组织高水平基础研究和应用基础研究、聚集和培养优秀科技人才、开展国内外学术交流、共享先进创新资源的重要基地。针对学科发展前沿和自治区经济社会发展的重要科技领域和方向，开展创新性研究，增强我区自主创新能力。实验室秉承着创新文化的思想和意识，以人工智能技术代替人眼识别肠道癌前病变，有效地</w:t>
            </w:r>
            <w:r>
              <w:rPr>
                <w:rFonts w:ascii="Times New Roman" w:hAnsi="Times New Roman" w:eastAsia="仿宋_GB2312" w:cs="Times New Roman"/>
                <w:sz w:val="24"/>
                <w:szCs w:val="32"/>
              </w:rPr>
              <w:t>提高肠道检查过程中的病变检出率，继而提高结直肠癌和癌前病变的早期检出率，同时也避免了肉眼疲劳引起的误诊、漏诊，提高病变息肉辨识率</w:t>
            </w:r>
            <w:r>
              <w:rPr>
                <w:rFonts w:hint="eastAsia" w:ascii="Times New Roman" w:hAnsi="Times New Roman" w:eastAsia="仿宋_GB2312" w:cs="Times New Roman"/>
                <w:sz w:val="24"/>
                <w:szCs w:val="32"/>
              </w:rPr>
              <w:t>，更高效、快捷和精准地为患者提供医疗服务，实现了我区内镜诊疗新突破。</w:t>
            </w:r>
          </w:p>
          <w:p>
            <w:pPr>
              <w:adjustRightInd w:val="0"/>
              <w:snapToGrid w:val="0"/>
              <w:spacing w:after="240" w:line="288" w:lineRule="auto"/>
              <w:ind w:firstLine="480" w:firstLineChars="200"/>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创新文化离不开良好的学风建设。以人为本的理念是学风建设的基础，实验室发展的关键是要有国际一流学术水平的带头人和一批德才兼备的骨干。实验室主任赵贵君教授是内蒙古自治区“草原英才”，内蒙古自治区</w:t>
            </w:r>
            <w:r>
              <w:rPr>
                <w:rFonts w:ascii="Times New Roman" w:hAnsi="Times New Roman" w:eastAsia="仿宋_GB2312" w:cs="Times New Roman"/>
                <w:sz w:val="24"/>
                <w:szCs w:val="32"/>
              </w:rPr>
              <w:t>321人才工程二层次，内蒙古自治区人民医院消化系统疾病院士专家（沈祖尧院士）工作站负责人。</w:t>
            </w:r>
            <w:r>
              <w:rPr>
                <w:rFonts w:hint="eastAsia" w:ascii="Times New Roman" w:hAnsi="Times New Roman" w:eastAsia="仿宋_GB2312" w:cs="Times New Roman"/>
                <w:sz w:val="24"/>
                <w:szCs w:val="32"/>
              </w:rPr>
              <w:t>多年从事消化道肿瘤研究及消化内镜诊疗临床工作。同时，也吸引了一批具有较高水平的中青年学者，形成了以优秀中青年为主的科研群体，为实验室良好学风的形成和健康发展奠定了基础。实验室学术委员会委员都是国内外同领域的知名专家，指导实验室方向和发展走向领先水平。良好的人文环境和学术氛围使实验室的建设起步于一个很高的起点。实验室规范管理也是构建良好学风的关键。建立一系列详实的规章制度，有利于规范研究人员的科研行为，避免出现学风浮躁虚夸，保证研究人员安全有序从事科研活动，潜心钻研，勇于探索科学的创新思想。加强与国内外学术界的学术交流与合作，有利于提升在国内外研究领域的学术地位和实验室的学术研究水平，为创新文化建设和学风建设提供更广阔的平台。</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p>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六</w:t>
      </w:r>
      <w:r>
        <w:rPr>
          <w:rFonts w:ascii="Times New Roman" w:hAnsi="Times New Roman" w:eastAsia="黑体" w:cs="Times New Roman"/>
          <w:kern w:val="0"/>
          <w:sz w:val="28"/>
          <w:szCs w:val="20"/>
        </w:rPr>
        <w:t>、</w:t>
      </w:r>
      <w:r>
        <w:rPr>
          <w:rFonts w:hint="eastAsia" w:ascii="Times New Roman" w:hAnsi="Times New Roman" w:eastAsia="黑体" w:cs="Times New Roman"/>
          <w:kern w:val="0"/>
          <w:sz w:val="28"/>
          <w:szCs w:val="20"/>
        </w:rPr>
        <w:t>实验室存在的主要问题</w:t>
      </w:r>
    </w:p>
    <w:tbl>
      <w:tblPr>
        <w:tblStyle w:val="13"/>
        <w:tblW w:w="852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57" w:type="dxa"/>
            <w:left w:w="57" w:type="dxa"/>
            <w:bottom w:w="57" w:type="dxa"/>
            <w:right w:w="57" w:type="dxa"/>
          </w:tblCellMar>
        </w:tblPrEx>
        <w:trPr>
          <w:trHeight w:val="567" w:hRule="atLeast"/>
          <w:jc w:val="center"/>
        </w:trPr>
        <w:tc>
          <w:tcPr>
            <w:tcW w:w="8527" w:type="dxa"/>
          </w:tcPr>
          <w:p>
            <w:pPr>
              <w:adjustRightInd w:val="0"/>
              <w:snapToGrid w:val="0"/>
              <w:spacing w:line="288" w:lineRule="auto"/>
              <w:ind w:firstLine="480" w:firstLineChars="200"/>
              <w:rPr>
                <w:rFonts w:ascii="仿宋" w:hAnsi="仿宋" w:eastAsia="仿宋" w:cs="Times New Roman"/>
                <w:sz w:val="24"/>
                <w:szCs w:val="28"/>
              </w:rPr>
            </w:pPr>
            <w:r>
              <w:rPr>
                <w:rFonts w:hint="eastAsia" w:ascii="仿宋" w:hAnsi="仿宋" w:eastAsia="仿宋" w:cs="Times New Roman"/>
                <w:sz w:val="24"/>
                <w:szCs w:val="28"/>
              </w:rPr>
              <w:t>简述实验室建设以来存在的主要问题。</w:t>
            </w:r>
          </w:p>
          <w:p>
            <w:pPr>
              <w:adjustRightInd w:val="0"/>
              <w:snapToGrid w:val="0"/>
              <w:spacing w:before="240" w:after="240" w:line="288" w:lineRule="auto"/>
              <w:ind w:firstLine="480" w:firstLineChars="200"/>
              <w:rPr>
                <w:rFonts w:ascii="Times New Roman" w:hAnsi="Times New Roman" w:eastAsia="仿宋_GB2312" w:cs="Times New Roman"/>
                <w:sz w:val="24"/>
                <w:szCs w:val="32"/>
              </w:rPr>
            </w:pPr>
            <w:r>
              <w:rPr>
                <w:rFonts w:hint="eastAsia" w:ascii="仿宋" w:hAnsi="仿宋" w:eastAsia="仿宋" w:cs="Times New Roman"/>
                <w:sz w:val="24"/>
                <w:szCs w:val="28"/>
              </w:rPr>
              <w:t>实验室建设虽然得到各级部门的关心和大力支持，</w:t>
            </w:r>
            <w:r>
              <w:rPr>
                <w:rFonts w:ascii="Times New Roman" w:hAnsi="Times New Roman" w:eastAsia="仿宋_GB2312" w:cs="Times New Roman"/>
                <w:sz w:val="24"/>
                <w:szCs w:val="32"/>
              </w:rPr>
              <w:t>科研条件逐步改善</w:t>
            </w:r>
            <w:r>
              <w:rPr>
                <w:rFonts w:hint="eastAsia" w:ascii="Times New Roman" w:hAnsi="Times New Roman" w:eastAsia="仿宋_GB2312" w:cs="Times New Roman"/>
                <w:sz w:val="24"/>
                <w:szCs w:val="32"/>
              </w:rPr>
              <w:t>，</w:t>
            </w:r>
            <w:r>
              <w:rPr>
                <w:rFonts w:ascii="Times New Roman" w:hAnsi="Times New Roman" w:eastAsia="仿宋_GB2312" w:cs="Times New Roman"/>
                <w:sz w:val="24"/>
                <w:szCs w:val="32"/>
              </w:rPr>
              <w:t>取得初步成效</w:t>
            </w:r>
            <w:r>
              <w:rPr>
                <w:rFonts w:hint="eastAsia" w:ascii="Times New Roman" w:hAnsi="Times New Roman" w:eastAsia="仿宋_GB2312" w:cs="Times New Roman"/>
                <w:sz w:val="24"/>
                <w:szCs w:val="32"/>
              </w:rPr>
              <w:t>，但仍然存在很多问题。经费投入不足，基础设施不完善，设备仪器匮乏，无法满足常规的基础研究需求。科研立项较少，临床资源利用不足，导致基础科研水平较弱，与国内发达地区的实验室科研水平存在差距。重视力度不够，特色研究方向不明显，缺少更多关注和支持。</w:t>
            </w: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七</w:t>
      </w:r>
      <w:r>
        <w:rPr>
          <w:rFonts w:ascii="Times New Roman" w:hAnsi="Times New Roman" w:eastAsia="黑体" w:cs="Times New Roman"/>
          <w:kern w:val="0"/>
          <w:sz w:val="28"/>
          <w:szCs w:val="20"/>
        </w:rPr>
        <w:t>、</w:t>
      </w:r>
      <w:r>
        <w:rPr>
          <w:rFonts w:hint="eastAsia" w:ascii="Times New Roman" w:hAnsi="Times New Roman" w:eastAsia="黑体" w:cs="Times New Roman"/>
          <w:kern w:val="0"/>
          <w:sz w:val="28"/>
          <w:szCs w:val="20"/>
        </w:rPr>
        <w:t>实验室未来三年发展规划</w:t>
      </w:r>
    </w:p>
    <w:tbl>
      <w:tblPr>
        <w:tblStyle w:val="13"/>
        <w:tblW w:w="8527" w:type="dxa"/>
        <w:jc w:val="center"/>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6" w:space="0"/>
            <w:left w:val="single" w:color="auto" w:sz="6" w:space="0"/>
            <w:bottom w:val="single" w:color="auto" w:sz="6" w:space="0"/>
            <w:right w:val="single" w:color="auto" w:sz="6" w:space="0"/>
            <w:insideH w:val="single" w:color="auto" w:sz="4" w:space="0"/>
            <w:insideV w:val="single" w:color="auto" w:sz="4" w:space="0"/>
          </w:tblBorders>
          <w:tblCellMar>
            <w:top w:w="57" w:type="dxa"/>
            <w:left w:w="57" w:type="dxa"/>
            <w:bottom w:w="57" w:type="dxa"/>
            <w:right w:w="57" w:type="dxa"/>
          </w:tblCellMar>
        </w:tblPrEx>
        <w:trPr>
          <w:trHeight w:val="584" w:hRule="atLeast"/>
          <w:jc w:val="center"/>
        </w:trPr>
        <w:tc>
          <w:tcPr>
            <w:tcW w:w="8527" w:type="dxa"/>
            <w:tcBorders>
              <w:tl2br w:val="nil"/>
              <w:tr2bl w:val="nil"/>
            </w:tcBorders>
          </w:tcPr>
          <w:p>
            <w:pPr>
              <w:adjustRightInd w:val="0"/>
              <w:snapToGrid w:val="0"/>
              <w:spacing w:line="288" w:lineRule="auto"/>
              <w:ind w:firstLine="480" w:firstLineChars="200"/>
              <w:rPr>
                <w:rFonts w:ascii="仿宋" w:hAnsi="仿宋" w:eastAsia="仿宋" w:cs="Times New Roman"/>
                <w:sz w:val="24"/>
                <w:szCs w:val="28"/>
              </w:rPr>
            </w:pPr>
            <w:r>
              <w:rPr>
                <w:rFonts w:ascii="仿宋" w:hAnsi="仿宋" w:eastAsia="仿宋" w:cs="Times New Roman"/>
                <w:sz w:val="24"/>
                <w:szCs w:val="28"/>
              </w:rPr>
              <w:t>简要介绍实验室的未来发展目标、重点任务、实施路径以及预期成果。</w:t>
            </w:r>
          </w:p>
          <w:p>
            <w:pPr>
              <w:adjustRightInd w:val="0"/>
              <w:snapToGrid w:val="0"/>
              <w:spacing w:before="240" w:line="288" w:lineRule="auto"/>
              <w:ind w:firstLine="480" w:firstLineChars="200"/>
              <w:rPr>
                <w:rFonts w:ascii="Times New Roman" w:hAnsi="Times New Roman" w:eastAsia="仿宋_GB2312" w:cs="Times New Roman"/>
                <w:sz w:val="24"/>
                <w:szCs w:val="32"/>
              </w:rPr>
            </w:pPr>
            <w:r>
              <w:rPr>
                <w:rFonts w:hint="eastAsia" w:ascii="Times New Roman" w:hAnsi="Times New Roman" w:eastAsia="仿宋_GB2312" w:cs="Times New Roman"/>
                <w:sz w:val="24"/>
                <w:szCs w:val="32"/>
              </w:rPr>
              <w:t>随着消化内镜领域发展迅速，新技术不断涌现，内镜理念日趋更新。诊断性内镜“多样化”及治疗性内镜“扩大化”已成为消化内镜的发展趋势。拓展内镜诊疗技术，组织更广泛的规范化培训，培养具有国内先进水平的内镜诊疗人才，提高我区整体内镜消化技术水平，促进患者康复，缩短住院时间，节省医疗费用。通过不断完善提高现有学科基础设施，引进人才，加强与国内外</w:t>
            </w:r>
            <w:r>
              <w:rPr>
                <w:rFonts w:ascii="Times New Roman" w:hAnsi="Times New Roman" w:eastAsia="仿宋_GB2312" w:cs="Times New Roman"/>
                <w:sz w:val="24"/>
                <w:szCs w:val="32"/>
              </w:rPr>
              <w:t>重点实验室密切合作，协同开展生物医学基础研究和临床转化研究</w:t>
            </w:r>
            <w:r>
              <w:rPr>
                <w:rFonts w:hint="eastAsia" w:ascii="Times New Roman" w:hAnsi="Times New Roman" w:eastAsia="仿宋_GB2312" w:cs="Times New Roman"/>
                <w:sz w:val="24"/>
                <w:szCs w:val="32"/>
              </w:rPr>
              <w:t>，努力提高医疗科研水平。利用重点实验室的平台，通过资源整合，多学科、多层次的广泛协同，在人才培养、科学研究、技术创新、学术交流等方面，积极培养我区消化疾病领域专业技术人才和科研学术人才，全面提高我区消化疾病诊断治疗水平，推进我区消化疾病学科体系整体发展。</w:t>
            </w: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tc>
      </w:tr>
    </w:tbl>
    <w:p>
      <w:pPr>
        <w:tabs>
          <w:tab w:val="left" w:pos="567"/>
        </w:tabs>
        <w:adjustRightInd w:val="0"/>
        <w:snapToGrid w:val="0"/>
        <w:spacing w:before="312" w:beforeLines="100" w:after="312" w:afterLines="100"/>
        <w:outlineLvl w:val="0"/>
        <w:rPr>
          <w:rFonts w:ascii="Times New Roman" w:hAnsi="Times New Roman" w:eastAsia="黑体" w:cs="Times New Roman"/>
          <w:kern w:val="0"/>
          <w:sz w:val="28"/>
          <w:szCs w:val="20"/>
        </w:rPr>
      </w:pPr>
      <w:r>
        <w:rPr>
          <w:rFonts w:hint="eastAsia" w:ascii="Times New Roman" w:hAnsi="Times New Roman" w:eastAsia="黑体" w:cs="Times New Roman"/>
          <w:kern w:val="0"/>
          <w:sz w:val="28"/>
          <w:szCs w:val="20"/>
        </w:rPr>
        <w:t>八、审</w:t>
      </w:r>
      <w:r>
        <w:rPr>
          <w:rFonts w:ascii="Times New Roman" w:hAnsi="Times New Roman" w:eastAsia="黑体" w:cs="Times New Roman"/>
          <w:kern w:val="0"/>
          <w:sz w:val="28"/>
          <w:szCs w:val="20"/>
        </w:rPr>
        <w:t xml:space="preserve"> </w:t>
      </w:r>
      <w:r>
        <w:rPr>
          <w:rFonts w:hint="eastAsia" w:ascii="Times New Roman" w:hAnsi="Times New Roman" w:eastAsia="黑体" w:cs="Times New Roman"/>
          <w:kern w:val="0"/>
          <w:sz w:val="28"/>
          <w:szCs w:val="20"/>
        </w:rPr>
        <w:t>核</w:t>
      </w:r>
      <w:r>
        <w:rPr>
          <w:rFonts w:ascii="Times New Roman" w:hAnsi="Times New Roman" w:eastAsia="黑体" w:cs="Times New Roman"/>
          <w:kern w:val="0"/>
          <w:sz w:val="28"/>
          <w:szCs w:val="20"/>
        </w:rPr>
        <w:t xml:space="preserve"> </w:t>
      </w:r>
      <w:r>
        <w:rPr>
          <w:rFonts w:hint="eastAsia" w:ascii="Times New Roman" w:hAnsi="Times New Roman" w:eastAsia="黑体" w:cs="Times New Roman"/>
          <w:kern w:val="0"/>
          <w:sz w:val="28"/>
          <w:szCs w:val="20"/>
        </w:rPr>
        <w:t>意</w:t>
      </w:r>
      <w:r>
        <w:rPr>
          <w:rFonts w:ascii="Times New Roman" w:hAnsi="Times New Roman" w:eastAsia="黑体" w:cs="Times New Roman"/>
          <w:kern w:val="0"/>
          <w:sz w:val="28"/>
          <w:szCs w:val="20"/>
        </w:rPr>
        <w:t xml:space="preserve"> </w:t>
      </w:r>
      <w:r>
        <w:rPr>
          <w:rFonts w:hint="eastAsia" w:ascii="Times New Roman" w:hAnsi="Times New Roman" w:eastAsia="黑体" w:cs="Times New Roman"/>
          <w:kern w:val="0"/>
          <w:sz w:val="28"/>
          <w:szCs w:val="20"/>
        </w:rPr>
        <w:t>见</w:t>
      </w:r>
    </w:p>
    <w:tbl>
      <w:tblPr>
        <w:tblStyle w:val="13"/>
        <w:tblW w:w="8527"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4" w:space="0"/>
        </w:tblBorders>
        <w:tblLayout w:type="fixed"/>
        <w:tblCellMar>
          <w:top w:w="57" w:type="dxa"/>
          <w:left w:w="57" w:type="dxa"/>
          <w:bottom w:w="57" w:type="dxa"/>
          <w:right w:w="57" w:type="dxa"/>
        </w:tblCellMar>
      </w:tblPr>
      <w:tblGrid>
        <w:gridCol w:w="852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4" w:space="0"/>
          </w:tblBorders>
          <w:tblCellMar>
            <w:top w:w="57" w:type="dxa"/>
            <w:left w:w="57" w:type="dxa"/>
            <w:bottom w:w="57" w:type="dxa"/>
            <w:right w:w="57" w:type="dxa"/>
          </w:tblCellMar>
        </w:tblPrEx>
        <w:trPr>
          <w:trHeight w:val="3738" w:hRule="atLeast"/>
          <w:jc w:val="center"/>
        </w:trPr>
        <w:tc>
          <w:tcPr>
            <w:tcW w:w="8527" w:type="dxa"/>
            <w:tcBorders>
              <w:tl2br w:val="nil"/>
              <w:tr2bl w:val="nil"/>
            </w:tcBorders>
          </w:tcPr>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实验室承诺所填内容属实，数据准确可靠。</w:t>
            </w: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 xml:space="preserve">                                实验室主任</w:t>
            </w:r>
            <w:r>
              <w:rPr>
                <w:rFonts w:hint="eastAsia" w:ascii="仿宋" w:hAnsi="仿宋" w:eastAsia="仿宋" w:cs="Times New Roman"/>
                <w:sz w:val="24"/>
                <w:szCs w:val="32"/>
              </w:rPr>
              <w:t>签字</w:t>
            </w:r>
            <w:r>
              <w:rPr>
                <w:rFonts w:ascii="仿宋" w:hAnsi="仿宋" w:eastAsia="仿宋" w:cs="Times New Roman"/>
                <w:sz w:val="24"/>
                <w:szCs w:val="32"/>
              </w:rPr>
              <w:t>：</w:t>
            </w: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 xml:space="preserve">                                </w:t>
            </w:r>
          </w:p>
          <w:p>
            <w:pPr>
              <w:adjustRightInd w:val="0"/>
              <w:snapToGrid w:val="0"/>
              <w:spacing w:line="288" w:lineRule="auto"/>
              <w:ind w:right="840" w:rightChars="400"/>
              <w:jc w:val="right"/>
              <w:rPr>
                <w:rFonts w:ascii="仿宋" w:hAnsi="仿宋" w:eastAsia="仿宋" w:cs="Times New Roman"/>
                <w:sz w:val="24"/>
                <w:szCs w:val="32"/>
              </w:rPr>
            </w:pPr>
            <w:r>
              <w:rPr>
                <w:rFonts w:ascii="Times New Roman" w:hAnsi="Times New Roman" w:eastAsia="仿宋_GB2312" w:cs="Times New Roman"/>
                <w:sz w:val="24"/>
                <w:szCs w:val="32"/>
              </w:rPr>
              <w:t xml:space="preserve">                                </w:t>
            </w:r>
            <w:r>
              <w:rPr>
                <w:rFonts w:ascii="仿宋" w:hAnsi="仿宋" w:eastAsia="仿宋" w:cs="Times New Roman"/>
                <w:sz w:val="24"/>
                <w:szCs w:val="32"/>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4" w:space="0"/>
          </w:tblBorders>
          <w:tblCellMar>
            <w:top w:w="57" w:type="dxa"/>
            <w:left w:w="57" w:type="dxa"/>
            <w:bottom w:w="57" w:type="dxa"/>
            <w:right w:w="57" w:type="dxa"/>
          </w:tblCellMar>
        </w:tblPrEx>
        <w:trPr>
          <w:trHeight w:val="3837" w:hRule="atLeast"/>
          <w:jc w:val="center"/>
        </w:trPr>
        <w:tc>
          <w:tcPr>
            <w:tcW w:w="8527" w:type="dxa"/>
            <w:tcBorders>
              <w:tl2br w:val="nil"/>
              <w:tr2bl w:val="nil"/>
            </w:tcBorders>
          </w:tcPr>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依托单位审核意见</w:t>
            </w: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 xml:space="preserve">                             依托单位负责人签</w:t>
            </w:r>
            <w:r>
              <w:rPr>
                <w:rFonts w:hint="eastAsia" w:ascii="仿宋" w:hAnsi="仿宋" w:eastAsia="仿宋" w:cs="Times New Roman"/>
                <w:sz w:val="24"/>
                <w:szCs w:val="32"/>
              </w:rPr>
              <w:t>章</w:t>
            </w:r>
            <w:r>
              <w:rPr>
                <w:rFonts w:ascii="仿宋" w:hAnsi="仿宋" w:eastAsia="仿宋" w:cs="Times New Roman"/>
                <w:sz w:val="24"/>
                <w:szCs w:val="32"/>
              </w:rPr>
              <w:t>：</w:t>
            </w: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 xml:space="preserve">                                （单位公章）</w:t>
            </w:r>
          </w:p>
          <w:p>
            <w:pPr>
              <w:adjustRightInd w:val="0"/>
              <w:snapToGrid w:val="0"/>
              <w:spacing w:line="288" w:lineRule="auto"/>
              <w:ind w:right="840" w:rightChars="400"/>
              <w:jc w:val="right"/>
              <w:rPr>
                <w:rFonts w:ascii="Times New Roman" w:hAnsi="Times New Roman" w:eastAsia="仿宋_GB2312" w:cs="Times New Roman"/>
                <w:sz w:val="24"/>
                <w:szCs w:val="32"/>
              </w:rPr>
            </w:pPr>
            <w:r>
              <w:rPr>
                <w:rFonts w:ascii="仿宋" w:hAnsi="仿宋" w:eastAsia="仿宋" w:cs="Times New Roman"/>
                <w:sz w:val="24"/>
                <w:szCs w:val="32"/>
              </w:rPr>
              <w:t xml:space="preserve">                                 年   月   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4" w:space="0"/>
          </w:tblBorders>
          <w:tblCellMar>
            <w:top w:w="57" w:type="dxa"/>
            <w:left w:w="57" w:type="dxa"/>
            <w:bottom w:w="57" w:type="dxa"/>
            <w:right w:w="57" w:type="dxa"/>
          </w:tblCellMar>
        </w:tblPrEx>
        <w:trPr>
          <w:trHeight w:val="3331" w:hRule="atLeast"/>
          <w:jc w:val="center"/>
        </w:trPr>
        <w:tc>
          <w:tcPr>
            <w:tcW w:w="8527" w:type="dxa"/>
            <w:tcBorders>
              <w:tl2br w:val="nil"/>
              <w:tr2bl w:val="nil"/>
            </w:tcBorders>
          </w:tcPr>
          <w:p>
            <w:pPr>
              <w:adjustRightInd w:val="0"/>
              <w:snapToGrid w:val="0"/>
              <w:spacing w:line="288" w:lineRule="auto"/>
              <w:rPr>
                <w:rFonts w:ascii="Times New Roman" w:hAnsi="Times New Roman" w:eastAsia="仿宋_GB2312" w:cs="Times New Roman"/>
                <w:sz w:val="24"/>
                <w:szCs w:val="32"/>
              </w:rPr>
            </w:pP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盟市科技局</w:t>
            </w:r>
            <w:r>
              <w:rPr>
                <w:rFonts w:hint="eastAsia" w:ascii="仿宋" w:hAnsi="仿宋" w:eastAsia="仿宋" w:cs="Times New Roman"/>
                <w:sz w:val="24"/>
                <w:szCs w:val="32"/>
              </w:rPr>
              <w:t>或自治区</w:t>
            </w:r>
            <w:r>
              <w:rPr>
                <w:rFonts w:ascii="仿宋" w:hAnsi="仿宋" w:eastAsia="仿宋" w:cs="Times New Roman"/>
                <w:sz w:val="24"/>
                <w:szCs w:val="32"/>
              </w:rPr>
              <w:t>有关部门审核意见</w:t>
            </w: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rPr>
                <w:rFonts w:ascii="仿宋" w:hAnsi="仿宋" w:eastAsia="仿宋" w:cs="Times New Roman"/>
                <w:sz w:val="24"/>
                <w:szCs w:val="32"/>
              </w:rPr>
            </w:pPr>
          </w:p>
          <w:p>
            <w:pPr>
              <w:adjustRightInd w:val="0"/>
              <w:snapToGrid w:val="0"/>
              <w:spacing w:line="288" w:lineRule="auto"/>
              <w:ind w:firstLine="1800" w:firstLineChars="750"/>
              <w:rPr>
                <w:rFonts w:ascii="仿宋" w:hAnsi="仿宋" w:eastAsia="仿宋" w:cs="Times New Roman"/>
                <w:sz w:val="24"/>
                <w:szCs w:val="32"/>
              </w:rPr>
            </w:pPr>
            <w:r>
              <w:rPr>
                <w:rFonts w:ascii="仿宋" w:hAnsi="仿宋" w:eastAsia="仿宋" w:cs="Times New Roman"/>
                <w:sz w:val="24"/>
                <w:szCs w:val="32"/>
              </w:rPr>
              <w:t>盟市科技局</w:t>
            </w:r>
            <w:r>
              <w:rPr>
                <w:rFonts w:hint="eastAsia" w:ascii="仿宋" w:hAnsi="仿宋" w:eastAsia="仿宋" w:cs="Times New Roman"/>
                <w:sz w:val="24"/>
                <w:szCs w:val="32"/>
              </w:rPr>
              <w:t>或自治区</w:t>
            </w:r>
            <w:r>
              <w:rPr>
                <w:rFonts w:ascii="仿宋" w:hAnsi="仿宋" w:eastAsia="仿宋" w:cs="Times New Roman"/>
                <w:sz w:val="24"/>
                <w:szCs w:val="32"/>
              </w:rPr>
              <w:t>有关部门负责人签字:</w:t>
            </w:r>
          </w:p>
          <w:p>
            <w:pPr>
              <w:adjustRightInd w:val="0"/>
              <w:snapToGrid w:val="0"/>
              <w:spacing w:line="288" w:lineRule="auto"/>
              <w:rPr>
                <w:rFonts w:ascii="仿宋" w:hAnsi="仿宋" w:eastAsia="仿宋" w:cs="Times New Roman"/>
                <w:sz w:val="24"/>
                <w:szCs w:val="32"/>
              </w:rPr>
            </w:pPr>
            <w:r>
              <w:rPr>
                <w:rFonts w:ascii="仿宋" w:hAnsi="仿宋" w:eastAsia="仿宋" w:cs="Times New Roman"/>
                <w:sz w:val="24"/>
                <w:szCs w:val="32"/>
              </w:rPr>
              <w:t xml:space="preserve">                            （单位公章）</w:t>
            </w:r>
          </w:p>
          <w:p>
            <w:pPr>
              <w:adjustRightInd w:val="0"/>
              <w:snapToGrid w:val="0"/>
              <w:spacing w:line="288" w:lineRule="auto"/>
              <w:ind w:right="840" w:rightChars="400"/>
              <w:jc w:val="right"/>
              <w:rPr>
                <w:rFonts w:ascii="Times New Roman" w:hAnsi="Times New Roman" w:eastAsia="仿宋_GB2312" w:cs="Times New Roman"/>
                <w:sz w:val="24"/>
                <w:szCs w:val="32"/>
              </w:rPr>
            </w:pPr>
            <w:r>
              <w:rPr>
                <w:rFonts w:ascii="仿宋" w:hAnsi="仿宋" w:eastAsia="仿宋" w:cs="Times New Roman"/>
                <w:sz w:val="24"/>
                <w:szCs w:val="32"/>
              </w:rPr>
              <w:t xml:space="preserve">                                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Arial">
    <w:panose1 w:val="020B0604020202020204"/>
    <w:charset w:val="00"/>
    <w:family w:val="swiss"/>
    <w:pitch w:val="default"/>
    <w:sig w:usb0="E0002AFF" w:usb1="C0007843" w:usb2="00000009" w:usb3="00000000" w:csb0="400001FF" w:csb1="FFFF0000"/>
  </w:font>
  <w:font w:name="仿宋_GB2312">
    <w:panose1 w:val="02010609030101010101"/>
    <w:charset w:val="86"/>
    <w:family w:val="modern"/>
    <w:pitch w:val="default"/>
    <w:sig w:usb0="00000001" w:usb1="080E0000" w:usb2="00000000" w:usb3="00000000" w:csb0="00040000" w:csb1="00000000"/>
  </w:font>
  <w:font w:name="等线 Light">
    <w:panose1 w:val="02010600030101010101"/>
    <w:charset w:val="86"/>
    <w:family w:val="auto"/>
    <w:pitch w:val="default"/>
    <w:sig w:usb0="A00002BF" w:usb1="38CF7CFA" w:usb2="00000016" w:usb3="00000000" w:csb0="0004000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Wingdings 2">
    <w:panose1 w:val="05020102010507070707"/>
    <w:charset w:val="02"/>
    <w:family w:val="roman"/>
    <w:pitch w:val="default"/>
    <w:sig w:usb0="00000000" w:usb1="00000000" w:usb2="00000000" w:usb3="00000000" w:csb0="80000000" w:csb1="00000000"/>
  </w:font>
  <w:font w:name="Helvetica Neue">
    <w:altName w:val="宋体"/>
    <w:panose1 w:val="00000000000000000000"/>
    <w:charset w:val="01"/>
    <w:family w:val="auto"/>
    <w:pitch w:val="default"/>
    <w:sig w:usb0="00000000" w:usb1="00000000" w:usb2="00000000"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E636CF9"/>
    <w:multiLevelType w:val="singleLevel"/>
    <w:tmpl w:val="CE636CF9"/>
    <w:lvl w:ilvl="0" w:tentative="0">
      <w:start w:val="1"/>
      <w:numFmt w:val="decimal"/>
      <w:suff w:val="nothing"/>
      <w:lvlText w:val="（%1）"/>
      <w:lvlJc w:val="left"/>
    </w:lvl>
  </w:abstractNum>
  <w:abstractNum w:abstractNumId="1">
    <w:nsid w:val="00000005"/>
    <w:multiLevelType w:val="multilevel"/>
    <w:tmpl w:val="00000005"/>
    <w:lvl w:ilvl="0" w:tentative="0">
      <w:start w:val="1"/>
      <w:numFmt w:val="chineseCountingThousand"/>
      <w:pStyle w:val="3"/>
      <w:lvlText w:val="(%1)"/>
      <w:lvlJc w:val="left"/>
      <w:pPr>
        <w:tabs>
          <w:tab w:val="left" w:pos="431"/>
        </w:tabs>
        <w:ind w:left="1271" w:hanging="420"/>
      </w:pPr>
      <w:rPr>
        <w:rFonts w:hint="eastAsia" w:ascii="黑体" w:hAnsi="黑体" w:eastAsia="黑体"/>
        <w:b/>
        <w:bCs w:val="0"/>
        <w:i w:val="0"/>
        <w:iCs w:val="0"/>
        <w:caps w:val="0"/>
        <w:smallCaps w:val="0"/>
        <w:vanish w:val="0"/>
        <w:color w:val="000000"/>
        <w:spacing w:val="0"/>
        <w:position w:val="0"/>
        <w:sz w:val="32"/>
        <w:szCs w:val="32"/>
        <w:u w:val="none"/>
        <w:vertAlign w:val="baseline"/>
        <w14:shadow w14:blurRad="0" w14:dist="0" w14:dir="0" w14:sx="0" w14:sy="0" w14:kx="0" w14:ky="0" w14:algn="none">
          <w14:srgbClr w14:val="000000"/>
        </w14:shadow>
      </w:rPr>
    </w:lvl>
    <w:lvl w:ilvl="1" w:tentative="0">
      <w:start w:val="1"/>
      <w:numFmt w:val="lowerLetter"/>
      <w:lvlText w:val="%2)"/>
      <w:lvlJc w:val="left"/>
      <w:pPr>
        <w:ind w:left="-1003" w:hanging="420"/>
      </w:pPr>
      <w:rPr>
        <w:rFonts w:hint="eastAsia"/>
      </w:rPr>
    </w:lvl>
    <w:lvl w:ilvl="2" w:tentative="0">
      <w:start w:val="1"/>
      <w:numFmt w:val="lowerRoman"/>
      <w:lvlText w:val="%3."/>
      <w:lvlJc w:val="right"/>
      <w:pPr>
        <w:ind w:left="-583" w:hanging="420"/>
      </w:pPr>
      <w:rPr>
        <w:rFonts w:hint="eastAsia"/>
      </w:rPr>
    </w:lvl>
    <w:lvl w:ilvl="3" w:tentative="0">
      <w:start w:val="1"/>
      <w:numFmt w:val="decimal"/>
      <w:lvlText w:val="%4."/>
      <w:lvlJc w:val="left"/>
      <w:pPr>
        <w:ind w:left="-163" w:hanging="420"/>
      </w:pPr>
      <w:rPr>
        <w:rFonts w:hint="eastAsia"/>
      </w:rPr>
    </w:lvl>
    <w:lvl w:ilvl="4" w:tentative="0">
      <w:start w:val="1"/>
      <w:numFmt w:val="lowerLetter"/>
      <w:lvlText w:val="%5)"/>
      <w:lvlJc w:val="left"/>
      <w:pPr>
        <w:ind w:left="257" w:hanging="420"/>
      </w:pPr>
      <w:rPr>
        <w:rFonts w:hint="eastAsia"/>
      </w:rPr>
    </w:lvl>
    <w:lvl w:ilvl="5" w:tentative="0">
      <w:start w:val="1"/>
      <w:numFmt w:val="lowerRoman"/>
      <w:lvlText w:val="%6."/>
      <w:lvlJc w:val="right"/>
      <w:pPr>
        <w:ind w:left="677" w:hanging="420"/>
      </w:pPr>
      <w:rPr>
        <w:rFonts w:hint="eastAsia"/>
      </w:rPr>
    </w:lvl>
    <w:lvl w:ilvl="6" w:tentative="0">
      <w:start w:val="1"/>
      <w:numFmt w:val="decimal"/>
      <w:lvlText w:val="%7."/>
      <w:lvlJc w:val="left"/>
      <w:pPr>
        <w:ind w:left="1097" w:hanging="420"/>
      </w:pPr>
      <w:rPr>
        <w:rFonts w:hint="eastAsia"/>
      </w:rPr>
    </w:lvl>
    <w:lvl w:ilvl="7" w:tentative="0">
      <w:start w:val="1"/>
      <w:numFmt w:val="lowerLetter"/>
      <w:lvlText w:val="%8)"/>
      <w:lvlJc w:val="left"/>
      <w:pPr>
        <w:ind w:left="1517" w:hanging="420"/>
      </w:pPr>
      <w:rPr>
        <w:rFonts w:hint="eastAsia"/>
      </w:rPr>
    </w:lvl>
    <w:lvl w:ilvl="8" w:tentative="0">
      <w:start w:val="1"/>
      <w:numFmt w:val="lowerRoman"/>
      <w:lvlText w:val="%9."/>
      <w:lvlJc w:val="right"/>
      <w:pPr>
        <w:ind w:left="1937" w:hanging="420"/>
      </w:pPr>
      <w:rPr>
        <w:rFonts w:hint="eastAsia"/>
      </w:rPr>
    </w:lvl>
  </w:abstractNum>
  <w:abstractNum w:abstractNumId="2">
    <w:nsid w:val="0C110FA2"/>
    <w:multiLevelType w:val="multilevel"/>
    <w:tmpl w:val="0C110FA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515A3E1"/>
    <w:multiLevelType w:val="singleLevel"/>
    <w:tmpl w:val="2515A3E1"/>
    <w:lvl w:ilvl="0" w:tentative="0">
      <w:start w:val="2"/>
      <w:numFmt w:val="decimal"/>
      <w:suff w:val="nothing"/>
      <w:lvlText w:val="（%1）"/>
      <w:lvlJc w:val="left"/>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6D38"/>
    <w:rsid w:val="00000F0F"/>
    <w:rsid w:val="00001273"/>
    <w:rsid w:val="00001BB4"/>
    <w:rsid w:val="00001E1E"/>
    <w:rsid w:val="00003280"/>
    <w:rsid w:val="00003BCE"/>
    <w:rsid w:val="00005482"/>
    <w:rsid w:val="00007AC9"/>
    <w:rsid w:val="00011864"/>
    <w:rsid w:val="00012572"/>
    <w:rsid w:val="00014F1A"/>
    <w:rsid w:val="00016322"/>
    <w:rsid w:val="00017902"/>
    <w:rsid w:val="00020F60"/>
    <w:rsid w:val="00023E0C"/>
    <w:rsid w:val="0002548C"/>
    <w:rsid w:val="00027880"/>
    <w:rsid w:val="00031A05"/>
    <w:rsid w:val="00032D97"/>
    <w:rsid w:val="00033565"/>
    <w:rsid w:val="00033B96"/>
    <w:rsid w:val="000367AE"/>
    <w:rsid w:val="0004230F"/>
    <w:rsid w:val="000423B9"/>
    <w:rsid w:val="00043258"/>
    <w:rsid w:val="00044A71"/>
    <w:rsid w:val="0004558C"/>
    <w:rsid w:val="00046D9F"/>
    <w:rsid w:val="000470E2"/>
    <w:rsid w:val="00050E1C"/>
    <w:rsid w:val="000513AA"/>
    <w:rsid w:val="00051749"/>
    <w:rsid w:val="0005478D"/>
    <w:rsid w:val="00056F38"/>
    <w:rsid w:val="000573E9"/>
    <w:rsid w:val="00057ACC"/>
    <w:rsid w:val="00061930"/>
    <w:rsid w:val="00062532"/>
    <w:rsid w:val="00063A2C"/>
    <w:rsid w:val="00065E69"/>
    <w:rsid w:val="00066181"/>
    <w:rsid w:val="000678A5"/>
    <w:rsid w:val="00071375"/>
    <w:rsid w:val="00071624"/>
    <w:rsid w:val="00072959"/>
    <w:rsid w:val="00072C6C"/>
    <w:rsid w:val="00074D15"/>
    <w:rsid w:val="00075883"/>
    <w:rsid w:val="00076D54"/>
    <w:rsid w:val="00077BC1"/>
    <w:rsid w:val="00081D7A"/>
    <w:rsid w:val="00083283"/>
    <w:rsid w:val="000839D8"/>
    <w:rsid w:val="00085F9F"/>
    <w:rsid w:val="00086BD9"/>
    <w:rsid w:val="00086D53"/>
    <w:rsid w:val="000912AB"/>
    <w:rsid w:val="0009706F"/>
    <w:rsid w:val="000978A6"/>
    <w:rsid w:val="00097C2E"/>
    <w:rsid w:val="000A0E25"/>
    <w:rsid w:val="000A36C1"/>
    <w:rsid w:val="000A5B35"/>
    <w:rsid w:val="000A624F"/>
    <w:rsid w:val="000A6CC1"/>
    <w:rsid w:val="000B08F6"/>
    <w:rsid w:val="000B2AF6"/>
    <w:rsid w:val="000B3610"/>
    <w:rsid w:val="000B3BB1"/>
    <w:rsid w:val="000B43DF"/>
    <w:rsid w:val="000B4E32"/>
    <w:rsid w:val="000B7CE0"/>
    <w:rsid w:val="000C01F0"/>
    <w:rsid w:val="000C0371"/>
    <w:rsid w:val="000C0535"/>
    <w:rsid w:val="000C2D3C"/>
    <w:rsid w:val="000C316A"/>
    <w:rsid w:val="000C34A0"/>
    <w:rsid w:val="000C3C95"/>
    <w:rsid w:val="000C528A"/>
    <w:rsid w:val="000C59D9"/>
    <w:rsid w:val="000D01EC"/>
    <w:rsid w:val="000D34D7"/>
    <w:rsid w:val="000D4A36"/>
    <w:rsid w:val="000D646C"/>
    <w:rsid w:val="000E0A4C"/>
    <w:rsid w:val="000E2B9F"/>
    <w:rsid w:val="000E2E16"/>
    <w:rsid w:val="000E3E85"/>
    <w:rsid w:val="000E447B"/>
    <w:rsid w:val="000E6B08"/>
    <w:rsid w:val="000E6E5C"/>
    <w:rsid w:val="000F038C"/>
    <w:rsid w:val="000F30D0"/>
    <w:rsid w:val="000F590A"/>
    <w:rsid w:val="000F62ED"/>
    <w:rsid w:val="000F6842"/>
    <w:rsid w:val="00103554"/>
    <w:rsid w:val="00104AF4"/>
    <w:rsid w:val="00104CAB"/>
    <w:rsid w:val="00107E21"/>
    <w:rsid w:val="0011074A"/>
    <w:rsid w:val="00112F31"/>
    <w:rsid w:val="001136D6"/>
    <w:rsid w:val="00116E0C"/>
    <w:rsid w:val="0011733E"/>
    <w:rsid w:val="00120F59"/>
    <w:rsid w:val="00121554"/>
    <w:rsid w:val="00126D71"/>
    <w:rsid w:val="00127ABF"/>
    <w:rsid w:val="001303E2"/>
    <w:rsid w:val="00130DB8"/>
    <w:rsid w:val="00131F36"/>
    <w:rsid w:val="0013230A"/>
    <w:rsid w:val="001355D9"/>
    <w:rsid w:val="00135768"/>
    <w:rsid w:val="00137444"/>
    <w:rsid w:val="00144178"/>
    <w:rsid w:val="00144FA4"/>
    <w:rsid w:val="00145EE1"/>
    <w:rsid w:val="001472CC"/>
    <w:rsid w:val="0015370D"/>
    <w:rsid w:val="00153AB2"/>
    <w:rsid w:val="00155064"/>
    <w:rsid w:val="00156FFF"/>
    <w:rsid w:val="00161E60"/>
    <w:rsid w:val="0016253A"/>
    <w:rsid w:val="00163F46"/>
    <w:rsid w:val="00164510"/>
    <w:rsid w:val="00164661"/>
    <w:rsid w:val="00164788"/>
    <w:rsid w:val="0016554A"/>
    <w:rsid w:val="00172128"/>
    <w:rsid w:val="0017255A"/>
    <w:rsid w:val="00172727"/>
    <w:rsid w:val="001753D3"/>
    <w:rsid w:val="00180C28"/>
    <w:rsid w:val="00181692"/>
    <w:rsid w:val="00183150"/>
    <w:rsid w:val="0018550A"/>
    <w:rsid w:val="0018680E"/>
    <w:rsid w:val="001904B6"/>
    <w:rsid w:val="00190A06"/>
    <w:rsid w:val="00193362"/>
    <w:rsid w:val="00194AA1"/>
    <w:rsid w:val="001A0F32"/>
    <w:rsid w:val="001A2A25"/>
    <w:rsid w:val="001A315F"/>
    <w:rsid w:val="001A5E05"/>
    <w:rsid w:val="001A6607"/>
    <w:rsid w:val="001B178F"/>
    <w:rsid w:val="001B1A2F"/>
    <w:rsid w:val="001B1AC9"/>
    <w:rsid w:val="001B39D3"/>
    <w:rsid w:val="001B3D3C"/>
    <w:rsid w:val="001B3F83"/>
    <w:rsid w:val="001B6B5A"/>
    <w:rsid w:val="001C2B45"/>
    <w:rsid w:val="001C3561"/>
    <w:rsid w:val="001C3B20"/>
    <w:rsid w:val="001C57AB"/>
    <w:rsid w:val="001C6049"/>
    <w:rsid w:val="001C63BE"/>
    <w:rsid w:val="001D0F05"/>
    <w:rsid w:val="001D2004"/>
    <w:rsid w:val="001D22C9"/>
    <w:rsid w:val="001D2A23"/>
    <w:rsid w:val="001D4F17"/>
    <w:rsid w:val="001D59F1"/>
    <w:rsid w:val="001D72CA"/>
    <w:rsid w:val="001E1C94"/>
    <w:rsid w:val="001E2C37"/>
    <w:rsid w:val="001F00FD"/>
    <w:rsid w:val="001F05BF"/>
    <w:rsid w:val="001F093E"/>
    <w:rsid w:val="001F0FEA"/>
    <w:rsid w:val="001F107C"/>
    <w:rsid w:val="001F1414"/>
    <w:rsid w:val="001F53FA"/>
    <w:rsid w:val="001F56F5"/>
    <w:rsid w:val="0020060B"/>
    <w:rsid w:val="00201753"/>
    <w:rsid w:val="002028CE"/>
    <w:rsid w:val="00203BF8"/>
    <w:rsid w:val="00204BA2"/>
    <w:rsid w:val="0021082D"/>
    <w:rsid w:val="00213450"/>
    <w:rsid w:val="00214218"/>
    <w:rsid w:val="00214E23"/>
    <w:rsid w:val="002154FD"/>
    <w:rsid w:val="00216A11"/>
    <w:rsid w:val="00217208"/>
    <w:rsid w:val="00220896"/>
    <w:rsid w:val="00221DC2"/>
    <w:rsid w:val="00224BA8"/>
    <w:rsid w:val="00225036"/>
    <w:rsid w:val="00225F1F"/>
    <w:rsid w:val="002310AD"/>
    <w:rsid w:val="00231248"/>
    <w:rsid w:val="00232A98"/>
    <w:rsid w:val="002347CA"/>
    <w:rsid w:val="00236865"/>
    <w:rsid w:val="00240E1D"/>
    <w:rsid w:val="00242A3B"/>
    <w:rsid w:val="00242AA4"/>
    <w:rsid w:val="002474D5"/>
    <w:rsid w:val="00251ACF"/>
    <w:rsid w:val="00251D00"/>
    <w:rsid w:val="00252A64"/>
    <w:rsid w:val="00253E09"/>
    <w:rsid w:val="00254DA1"/>
    <w:rsid w:val="00254E2D"/>
    <w:rsid w:val="00256814"/>
    <w:rsid w:val="00256DD7"/>
    <w:rsid w:val="002578B2"/>
    <w:rsid w:val="00257C8F"/>
    <w:rsid w:val="00260E03"/>
    <w:rsid w:val="00262905"/>
    <w:rsid w:val="002635BD"/>
    <w:rsid w:val="0026513B"/>
    <w:rsid w:val="002704C6"/>
    <w:rsid w:val="00270509"/>
    <w:rsid w:val="00270F09"/>
    <w:rsid w:val="00275E22"/>
    <w:rsid w:val="0028000E"/>
    <w:rsid w:val="00281F01"/>
    <w:rsid w:val="002828F0"/>
    <w:rsid w:val="00282C87"/>
    <w:rsid w:val="002834A6"/>
    <w:rsid w:val="00283C07"/>
    <w:rsid w:val="00285BD3"/>
    <w:rsid w:val="00285F71"/>
    <w:rsid w:val="002867D0"/>
    <w:rsid w:val="00286853"/>
    <w:rsid w:val="00287307"/>
    <w:rsid w:val="002906E7"/>
    <w:rsid w:val="00295F18"/>
    <w:rsid w:val="00296B20"/>
    <w:rsid w:val="002A06CC"/>
    <w:rsid w:val="002A445D"/>
    <w:rsid w:val="002A46CA"/>
    <w:rsid w:val="002A556F"/>
    <w:rsid w:val="002A6BA3"/>
    <w:rsid w:val="002B0960"/>
    <w:rsid w:val="002B22B6"/>
    <w:rsid w:val="002B32B7"/>
    <w:rsid w:val="002B47F8"/>
    <w:rsid w:val="002B635C"/>
    <w:rsid w:val="002B7137"/>
    <w:rsid w:val="002B746F"/>
    <w:rsid w:val="002C1896"/>
    <w:rsid w:val="002C2FA1"/>
    <w:rsid w:val="002C4686"/>
    <w:rsid w:val="002C571B"/>
    <w:rsid w:val="002C60D9"/>
    <w:rsid w:val="002D0BA4"/>
    <w:rsid w:val="002D125D"/>
    <w:rsid w:val="002D18DC"/>
    <w:rsid w:val="002D325D"/>
    <w:rsid w:val="002D5795"/>
    <w:rsid w:val="002D6953"/>
    <w:rsid w:val="002E1CAD"/>
    <w:rsid w:val="002E2C86"/>
    <w:rsid w:val="002E311F"/>
    <w:rsid w:val="002F1B3A"/>
    <w:rsid w:val="002F6B5E"/>
    <w:rsid w:val="002F7F0A"/>
    <w:rsid w:val="0030095F"/>
    <w:rsid w:val="0030393E"/>
    <w:rsid w:val="00304144"/>
    <w:rsid w:val="0030439E"/>
    <w:rsid w:val="00307DEA"/>
    <w:rsid w:val="003102BB"/>
    <w:rsid w:val="00312AB7"/>
    <w:rsid w:val="00312BEE"/>
    <w:rsid w:val="00314E2E"/>
    <w:rsid w:val="00315245"/>
    <w:rsid w:val="00316DEE"/>
    <w:rsid w:val="0032046B"/>
    <w:rsid w:val="00320C32"/>
    <w:rsid w:val="0032187F"/>
    <w:rsid w:val="0032283E"/>
    <w:rsid w:val="00323DBC"/>
    <w:rsid w:val="00325D00"/>
    <w:rsid w:val="00325E1B"/>
    <w:rsid w:val="003270AB"/>
    <w:rsid w:val="00327426"/>
    <w:rsid w:val="00327A21"/>
    <w:rsid w:val="00327A54"/>
    <w:rsid w:val="00330E21"/>
    <w:rsid w:val="00331E58"/>
    <w:rsid w:val="00332B06"/>
    <w:rsid w:val="00332EEB"/>
    <w:rsid w:val="00333561"/>
    <w:rsid w:val="003343D3"/>
    <w:rsid w:val="003348B0"/>
    <w:rsid w:val="00334929"/>
    <w:rsid w:val="00336A89"/>
    <w:rsid w:val="00341D28"/>
    <w:rsid w:val="00343EB9"/>
    <w:rsid w:val="00346618"/>
    <w:rsid w:val="00352678"/>
    <w:rsid w:val="0035342B"/>
    <w:rsid w:val="00353788"/>
    <w:rsid w:val="00354B0F"/>
    <w:rsid w:val="003603B6"/>
    <w:rsid w:val="00360A59"/>
    <w:rsid w:val="00362375"/>
    <w:rsid w:val="00362C65"/>
    <w:rsid w:val="00370F23"/>
    <w:rsid w:val="00371C25"/>
    <w:rsid w:val="0037274E"/>
    <w:rsid w:val="00373574"/>
    <w:rsid w:val="003749F6"/>
    <w:rsid w:val="00376B26"/>
    <w:rsid w:val="00376C8F"/>
    <w:rsid w:val="0037732D"/>
    <w:rsid w:val="00383F37"/>
    <w:rsid w:val="00384202"/>
    <w:rsid w:val="0038701C"/>
    <w:rsid w:val="00392153"/>
    <w:rsid w:val="00392B75"/>
    <w:rsid w:val="003973FC"/>
    <w:rsid w:val="00397E31"/>
    <w:rsid w:val="003A055D"/>
    <w:rsid w:val="003B0348"/>
    <w:rsid w:val="003B273F"/>
    <w:rsid w:val="003B5693"/>
    <w:rsid w:val="003B6BFA"/>
    <w:rsid w:val="003B6DA1"/>
    <w:rsid w:val="003C191A"/>
    <w:rsid w:val="003C27AA"/>
    <w:rsid w:val="003C39A3"/>
    <w:rsid w:val="003C65F6"/>
    <w:rsid w:val="003C6E33"/>
    <w:rsid w:val="003C6F3F"/>
    <w:rsid w:val="003D309A"/>
    <w:rsid w:val="003D3A70"/>
    <w:rsid w:val="003D4488"/>
    <w:rsid w:val="003D4E43"/>
    <w:rsid w:val="003E00F9"/>
    <w:rsid w:val="003E15CB"/>
    <w:rsid w:val="003E7CCA"/>
    <w:rsid w:val="003F472A"/>
    <w:rsid w:val="003F73C6"/>
    <w:rsid w:val="004015CE"/>
    <w:rsid w:val="004031F7"/>
    <w:rsid w:val="00403F0D"/>
    <w:rsid w:val="0040527B"/>
    <w:rsid w:val="0041031D"/>
    <w:rsid w:val="00410ACD"/>
    <w:rsid w:val="004128D3"/>
    <w:rsid w:val="00412EFF"/>
    <w:rsid w:val="00413010"/>
    <w:rsid w:val="00414D7F"/>
    <w:rsid w:val="00420245"/>
    <w:rsid w:val="004219F9"/>
    <w:rsid w:val="004220D2"/>
    <w:rsid w:val="00423FCB"/>
    <w:rsid w:val="004242D5"/>
    <w:rsid w:val="004246C3"/>
    <w:rsid w:val="00431984"/>
    <w:rsid w:val="00431B7B"/>
    <w:rsid w:val="004321CE"/>
    <w:rsid w:val="00433884"/>
    <w:rsid w:val="00434436"/>
    <w:rsid w:val="004347E6"/>
    <w:rsid w:val="004371EE"/>
    <w:rsid w:val="00440DE8"/>
    <w:rsid w:val="004445D2"/>
    <w:rsid w:val="004465E7"/>
    <w:rsid w:val="00446671"/>
    <w:rsid w:val="0044799C"/>
    <w:rsid w:val="004525E3"/>
    <w:rsid w:val="004529AD"/>
    <w:rsid w:val="00452BE0"/>
    <w:rsid w:val="0045319A"/>
    <w:rsid w:val="00455D89"/>
    <w:rsid w:val="00456048"/>
    <w:rsid w:val="00456492"/>
    <w:rsid w:val="00466146"/>
    <w:rsid w:val="0046790A"/>
    <w:rsid w:val="004712AF"/>
    <w:rsid w:val="0047338D"/>
    <w:rsid w:val="00473AEB"/>
    <w:rsid w:val="00474907"/>
    <w:rsid w:val="00475D26"/>
    <w:rsid w:val="00476177"/>
    <w:rsid w:val="0047676E"/>
    <w:rsid w:val="00477345"/>
    <w:rsid w:val="00482697"/>
    <w:rsid w:val="00483375"/>
    <w:rsid w:val="00484738"/>
    <w:rsid w:val="00484F03"/>
    <w:rsid w:val="004852F5"/>
    <w:rsid w:val="00485586"/>
    <w:rsid w:val="00486025"/>
    <w:rsid w:val="00486CAB"/>
    <w:rsid w:val="0049060C"/>
    <w:rsid w:val="00492269"/>
    <w:rsid w:val="004927CA"/>
    <w:rsid w:val="00492E07"/>
    <w:rsid w:val="00493572"/>
    <w:rsid w:val="0049404A"/>
    <w:rsid w:val="0049440B"/>
    <w:rsid w:val="004952DC"/>
    <w:rsid w:val="00495A36"/>
    <w:rsid w:val="004962CB"/>
    <w:rsid w:val="004A465C"/>
    <w:rsid w:val="004B2F09"/>
    <w:rsid w:val="004B51BF"/>
    <w:rsid w:val="004B56C0"/>
    <w:rsid w:val="004B5D07"/>
    <w:rsid w:val="004B6AC7"/>
    <w:rsid w:val="004C0567"/>
    <w:rsid w:val="004C1459"/>
    <w:rsid w:val="004C1A33"/>
    <w:rsid w:val="004C1EC0"/>
    <w:rsid w:val="004C2586"/>
    <w:rsid w:val="004C64B9"/>
    <w:rsid w:val="004C68C9"/>
    <w:rsid w:val="004C71B1"/>
    <w:rsid w:val="004D04F2"/>
    <w:rsid w:val="004D2DAE"/>
    <w:rsid w:val="004D3ABB"/>
    <w:rsid w:val="004D44A2"/>
    <w:rsid w:val="004D6701"/>
    <w:rsid w:val="004D6A75"/>
    <w:rsid w:val="004D6BDB"/>
    <w:rsid w:val="004D73F6"/>
    <w:rsid w:val="004D756C"/>
    <w:rsid w:val="004D7802"/>
    <w:rsid w:val="004E00AC"/>
    <w:rsid w:val="004E2803"/>
    <w:rsid w:val="004E3D75"/>
    <w:rsid w:val="004F0A8E"/>
    <w:rsid w:val="004F2703"/>
    <w:rsid w:val="004F43B7"/>
    <w:rsid w:val="004F657E"/>
    <w:rsid w:val="004F7AF5"/>
    <w:rsid w:val="00501B88"/>
    <w:rsid w:val="00505DFD"/>
    <w:rsid w:val="005077B2"/>
    <w:rsid w:val="00511221"/>
    <w:rsid w:val="00512518"/>
    <w:rsid w:val="005131F0"/>
    <w:rsid w:val="00516455"/>
    <w:rsid w:val="00517355"/>
    <w:rsid w:val="005203C0"/>
    <w:rsid w:val="005214C0"/>
    <w:rsid w:val="005240E6"/>
    <w:rsid w:val="005244AD"/>
    <w:rsid w:val="0052644D"/>
    <w:rsid w:val="005308CD"/>
    <w:rsid w:val="00531ED3"/>
    <w:rsid w:val="0053213F"/>
    <w:rsid w:val="005324F1"/>
    <w:rsid w:val="00532B96"/>
    <w:rsid w:val="00533F77"/>
    <w:rsid w:val="00533F9E"/>
    <w:rsid w:val="00534140"/>
    <w:rsid w:val="00535514"/>
    <w:rsid w:val="005405C7"/>
    <w:rsid w:val="00545FB3"/>
    <w:rsid w:val="005462DA"/>
    <w:rsid w:val="0054668C"/>
    <w:rsid w:val="00552C4F"/>
    <w:rsid w:val="005533E0"/>
    <w:rsid w:val="005539D7"/>
    <w:rsid w:val="005539F5"/>
    <w:rsid w:val="00554931"/>
    <w:rsid w:val="00556197"/>
    <w:rsid w:val="00556452"/>
    <w:rsid w:val="005578A1"/>
    <w:rsid w:val="005652BF"/>
    <w:rsid w:val="00565935"/>
    <w:rsid w:val="00567F3F"/>
    <w:rsid w:val="00571E70"/>
    <w:rsid w:val="00573A88"/>
    <w:rsid w:val="00573F23"/>
    <w:rsid w:val="00575680"/>
    <w:rsid w:val="00575856"/>
    <w:rsid w:val="00576051"/>
    <w:rsid w:val="00577436"/>
    <w:rsid w:val="005808AC"/>
    <w:rsid w:val="00581664"/>
    <w:rsid w:val="00583722"/>
    <w:rsid w:val="005851D9"/>
    <w:rsid w:val="005876E6"/>
    <w:rsid w:val="00591C54"/>
    <w:rsid w:val="0059225C"/>
    <w:rsid w:val="00596DFA"/>
    <w:rsid w:val="00596EAB"/>
    <w:rsid w:val="005A4AD9"/>
    <w:rsid w:val="005A53E3"/>
    <w:rsid w:val="005B0276"/>
    <w:rsid w:val="005B1150"/>
    <w:rsid w:val="005B49A1"/>
    <w:rsid w:val="005B5973"/>
    <w:rsid w:val="005B6F6D"/>
    <w:rsid w:val="005B6FA6"/>
    <w:rsid w:val="005C0090"/>
    <w:rsid w:val="005C0AAC"/>
    <w:rsid w:val="005C1545"/>
    <w:rsid w:val="005C1600"/>
    <w:rsid w:val="005C295C"/>
    <w:rsid w:val="005C333F"/>
    <w:rsid w:val="005C3FEC"/>
    <w:rsid w:val="005D2E04"/>
    <w:rsid w:val="005D73BB"/>
    <w:rsid w:val="005D7BA0"/>
    <w:rsid w:val="005E061A"/>
    <w:rsid w:val="005E1E76"/>
    <w:rsid w:val="005E3A28"/>
    <w:rsid w:val="005E597C"/>
    <w:rsid w:val="005E7406"/>
    <w:rsid w:val="005F0F02"/>
    <w:rsid w:val="005F54D3"/>
    <w:rsid w:val="006000DE"/>
    <w:rsid w:val="00600538"/>
    <w:rsid w:val="006019EB"/>
    <w:rsid w:val="00602265"/>
    <w:rsid w:val="00602957"/>
    <w:rsid w:val="006038FD"/>
    <w:rsid w:val="00605826"/>
    <w:rsid w:val="00605AD4"/>
    <w:rsid w:val="00611214"/>
    <w:rsid w:val="006114B8"/>
    <w:rsid w:val="006121A5"/>
    <w:rsid w:val="00614A10"/>
    <w:rsid w:val="0061524E"/>
    <w:rsid w:val="00616787"/>
    <w:rsid w:val="00620216"/>
    <w:rsid w:val="006229C4"/>
    <w:rsid w:val="00622F05"/>
    <w:rsid w:val="0062442F"/>
    <w:rsid w:val="00625972"/>
    <w:rsid w:val="00626CE9"/>
    <w:rsid w:val="00626EC0"/>
    <w:rsid w:val="0062777A"/>
    <w:rsid w:val="006302FC"/>
    <w:rsid w:val="00632B90"/>
    <w:rsid w:val="00633364"/>
    <w:rsid w:val="00634D3C"/>
    <w:rsid w:val="00635890"/>
    <w:rsid w:val="00636347"/>
    <w:rsid w:val="0063796E"/>
    <w:rsid w:val="00637E2D"/>
    <w:rsid w:val="00641874"/>
    <w:rsid w:val="00641C60"/>
    <w:rsid w:val="006427DF"/>
    <w:rsid w:val="00642C93"/>
    <w:rsid w:val="00644E18"/>
    <w:rsid w:val="00645EAB"/>
    <w:rsid w:val="00646599"/>
    <w:rsid w:val="00646BE3"/>
    <w:rsid w:val="00647B36"/>
    <w:rsid w:val="00650093"/>
    <w:rsid w:val="006507D5"/>
    <w:rsid w:val="00651D61"/>
    <w:rsid w:val="00652709"/>
    <w:rsid w:val="00653268"/>
    <w:rsid w:val="00655B3D"/>
    <w:rsid w:val="00656F9D"/>
    <w:rsid w:val="00657A8D"/>
    <w:rsid w:val="006604A0"/>
    <w:rsid w:val="00660A88"/>
    <w:rsid w:val="006637F9"/>
    <w:rsid w:val="00664B82"/>
    <w:rsid w:val="006659F8"/>
    <w:rsid w:val="00666113"/>
    <w:rsid w:val="006664D3"/>
    <w:rsid w:val="006679C1"/>
    <w:rsid w:val="00667E9A"/>
    <w:rsid w:val="006701C7"/>
    <w:rsid w:val="00670444"/>
    <w:rsid w:val="00670451"/>
    <w:rsid w:val="00670540"/>
    <w:rsid w:val="00670BCB"/>
    <w:rsid w:val="00672161"/>
    <w:rsid w:val="00672AE9"/>
    <w:rsid w:val="006734F9"/>
    <w:rsid w:val="0067387A"/>
    <w:rsid w:val="00674C6C"/>
    <w:rsid w:val="006776F4"/>
    <w:rsid w:val="00680FE9"/>
    <w:rsid w:val="006817C8"/>
    <w:rsid w:val="00687EC9"/>
    <w:rsid w:val="0069068F"/>
    <w:rsid w:val="00690942"/>
    <w:rsid w:val="00690EBC"/>
    <w:rsid w:val="00693C33"/>
    <w:rsid w:val="00694895"/>
    <w:rsid w:val="006949B8"/>
    <w:rsid w:val="006960B0"/>
    <w:rsid w:val="006A005D"/>
    <w:rsid w:val="006A048F"/>
    <w:rsid w:val="006A127F"/>
    <w:rsid w:val="006A3654"/>
    <w:rsid w:val="006A5E1D"/>
    <w:rsid w:val="006A74BF"/>
    <w:rsid w:val="006B195B"/>
    <w:rsid w:val="006B2823"/>
    <w:rsid w:val="006B2DE4"/>
    <w:rsid w:val="006B4A28"/>
    <w:rsid w:val="006B52E4"/>
    <w:rsid w:val="006B6521"/>
    <w:rsid w:val="006C3286"/>
    <w:rsid w:val="006C51B3"/>
    <w:rsid w:val="006D18C1"/>
    <w:rsid w:val="006D35D8"/>
    <w:rsid w:val="006D734A"/>
    <w:rsid w:val="006D7C74"/>
    <w:rsid w:val="006D7D0D"/>
    <w:rsid w:val="006D7F95"/>
    <w:rsid w:val="006E054B"/>
    <w:rsid w:val="006E09D1"/>
    <w:rsid w:val="006E24F5"/>
    <w:rsid w:val="006E277A"/>
    <w:rsid w:val="006E478E"/>
    <w:rsid w:val="006E4AFC"/>
    <w:rsid w:val="006E7B22"/>
    <w:rsid w:val="006E7C2F"/>
    <w:rsid w:val="006F05C5"/>
    <w:rsid w:val="006F09BA"/>
    <w:rsid w:val="006F10E7"/>
    <w:rsid w:val="006F2E7B"/>
    <w:rsid w:val="006F3AD6"/>
    <w:rsid w:val="006F3BA6"/>
    <w:rsid w:val="006F3CEB"/>
    <w:rsid w:val="006F47D2"/>
    <w:rsid w:val="006F48D3"/>
    <w:rsid w:val="006F6358"/>
    <w:rsid w:val="006F63A8"/>
    <w:rsid w:val="006F64FF"/>
    <w:rsid w:val="00700CB4"/>
    <w:rsid w:val="007028C2"/>
    <w:rsid w:val="00705AE8"/>
    <w:rsid w:val="00707CA1"/>
    <w:rsid w:val="00710A9A"/>
    <w:rsid w:val="00710B9E"/>
    <w:rsid w:val="00710DD7"/>
    <w:rsid w:val="00711220"/>
    <w:rsid w:val="00712947"/>
    <w:rsid w:val="00713D84"/>
    <w:rsid w:val="007140B9"/>
    <w:rsid w:val="007159DF"/>
    <w:rsid w:val="00715C84"/>
    <w:rsid w:val="00716971"/>
    <w:rsid w:val="00717F68"/>
    <w:rsid w:val="00721B97"/>
    <w:rsid w:val="0072391B"/>
    <w:rsid w:val="00726B7A"/>
    <w:rsid w:val="00731B81"/>
    <w:rsid w:val="0073252B"/>
    <w:rsid w:val="00734ECA"/>
    <w:rsid w:val="0073570A"/>
    <w:rsid w:val="00735D1A"/>
    <w:rsid w:val="00735E53"/>
    <w:rsid w:val="00735F0C"/>
    <w:rsid w:val="00742D96"/>
    <w:rsid w:val="00742DC0"/>
    <w:rsid w:val="00751426"/>
    <w:rsid w:val="007514C1"/>
    <w:rsid w:val="007520C3"/>
    <w:rsid w:val="00753C65"/>
    <w:rsid w:val="00754C1C"/>
    <w:rsid w:val="0075547B"/>
    <w:rsid w:val="00760EC4"/>
    <w:rsid w:val="00763377"/>
    <w:rsid w:val="007643C0"/>
    <w:rsid w:val="00764DC8"/>
    <w:rsid w:val="00764E4C"/>
    <w:rsid w:val="007735A5"/>
    <w:rsid w:val="0077382D"/>
    <w:rsid w:val="00773A08"/>
    <w:rsid w:val="00781137"/>
    <w:rsid w:val="007856D1"/>
    <w:rsid w:val="00785CB6"/>
    <w:rsid w:val="0078749B"/>
    <w:rsid w:val="00791841"/>
    <w:rsid w:val="0079221B"/>
    <w:rsid w:val="0079391F"/>
    <w:rsid w:val="00793B19"/>
    <w:rsid w:val="00793B1D"/>
    <w:rsid w:val="00793DC8"/>
    <w:rsid w:val="00794171"/>
    <w:rsid w:val="00794293"/>
    <w:rsid w:val="007A0266"/>
    <w:rsid w:val="007A1229"/>
    <w:rsid w:val="007A3550"/>
    <w:rsid w:val="007A3700"/>
    <w:rsid w:val="007A4015"/>
    <w:rsid w:val="007A6C67"/>
    <w:rsid w:val="007B2EBF"/>
    <w:rsid w:val="007B35B8"/>
    <w:rsid w:val="007B432E"/>
    <w:rsid w:val="007B495F"/>
    <w:rsid w:val="007B59EA"/>
    <w:rsid w:val="007B6C87"/>
    <w:rsid w:val="007B6F3C"/>
    <w:rsid w:val="007B793B"/>
    <w:rsid w:val="007C088E"/>
    <w:rsid w:val="007C1DBE"/>
    <w:rsid w:val="007C3524"/>
    <w:rsid w:val="007C3FFC"/>
    <w:rsid w:val="007C5F7C"/>
    <w:rsid w:val="007C75E4"/>
    <w:rsid w:val="007D02CB"/>
    <w:rsid w:val="007D3A9A"/>
    <w:rsid w:val="007D6B1F"/>
    <w:rsid w:val="007D6E2B"/>
    <w:rsid w:val="007E10EE"/>
    <w:rsid w:val="007E3DC2"/>
    <w:rsid w:val="007E469B"/>
    <w:rsid w:val="007E481B"/>
    <w:rsid w:val="007E5415"/>
    <w:rsid w:val="007E543B"/>
    <w:rsid w:val="007E6BFE"/>
    <w:rsid w:val="007F1C78"/>
    <w:rsid w:val="007F5BDA"/>
    <w:rsid w:val="007F6591"/>
    <w:rsid w:val="007F66B1"/>
    <w:rsid w:val="007F75EC"/>
    <w:rsid w:val="007F780E"/>
    <w:rsid w:val="00800833"/>
    <w:rsid w:val="008011FC"/>
    <w:rsid w:val="00802079"/>
    <w:rsid w:val="00803EC7"/>
    <w:rsid w:val="008042FA"/>
    <w:rsid w:val="008067F1"/>
    <w:rsid w:val="0080790D"/>
    <w:rsid w:val="00812552"/>
    <w:rsid w:val="00815D54"/>
    <w:rsid w:val="008160DC"/>
    <w:rsid w:val="00816B1C"/>
    <w:rsid w:val="008200B6"/>
    <w:rsid w:val="00821800"/>
    <w:rsid w:val="00821A16"/>
    <w:rsid w:val="00821AAA"/>
    <w:rsid w:val="00822C15"/>
    <w:rsid w:val="008251BF"/>
    <w:rsid w:val="008308CB"/>
    <w:rsid w:val="00830B06"/>
    <w:rsid w:val="0083201D"/>
    <w:rsid w:val="0083269C"/>
    <w:rsid w:val="008333D9"/>
    <w:rsid w:val="008404D4"/>
    <w:rsid w:val="0084064F"/>
    <w:rsid w:val="00840832"/>
    <w:rsid w:val="008419DD"/>
    <w:rsid w:val="00842F94"/>
    <w:rsid w:val="008431E8"/>
    <w:rsid w:val="00850F54"/>
    <w:rsid w:val="00852D2A"/>
    <w:rsid w:val="008536C0"/>
    <w:rsid w:val="008574BC"/>
    <w:rsid w:val="0085789B"/>
    <w:rsid w:val="00857E6F"/>
    <w:rsid w:val="00860839"/>
    <w:rsid w:val="00861D1E"/>
    <w:rsid w:val="008633A9"/>
    <w:rsid w:val="008664D7"/>
    <w:rsid w:val="00866921"/>
    <w:rsid w:val="00866FCD"/>
    <w:rsid w:val="00867E2C"/>
    <w:rsid w:val="0087152E"/>
    <w:rsid w:val="0087436A"/>
    <w:rsid w:val="008746C1"/>
    <w:rsid w:val="00875291"/>
    <w:rsid w:val="008758D6"/>
    <w:rsid w:val="00877D38"/>
    <w:rsid w:val="00880EBE"/>
    <w:rsid w:val="00883812"/>
    <w:rsid w:val="00884877"/>
    <w:rsid w:val="00885AB5"/>
    <w:rsid w:val="00885C55"/>
    <w:rsid w:val="00886B54"/>
    <w:rsid w:val="00891F89"/>
    <w:rsid w:val="008938CB"/>
    <w:rsid w:val="00897CEE"/>
    <w:rsid w:val="008A0B23"/>
    <w:rsid w:val="008A2575"/>
    <w:rsid w:val="008A4D35"/>
    <w:rsid w:val="008A7D5F"/>
    <w:rsid w:val="008B0E68"/>
    <w:rsid w:val="008B1099"/>
    <w:rsid w:val="008B1553"/>
    <w:rsid w:val="008B2525"/>
    <w:rsid w:val="008B2693"/>
    <w:rsid w:val="008B296B"/>
    <w:rsid w:val="008B3AB6"/>
    <w:rsid w:val="008B778F"/>
    <w:rsid w:val="008C021F"/>
    <w:rsid w:val="008C09F6"/>
    <w:rsid w:val="008C1471"/>
    <w:rsid w:val="008C1CA1"/>
    <w:rsid w:val="008C1F13"/>
    <w:rsid w:val="008C3657"/>
    <w:rsid w:val="008C4707"/>
    <w:rsid w:val="008D0B64"/>
    <w:rsid w:val="008D1D84"/>
    <w:rsid w:val="008D560A"/>
    <w:rsid w:val="008E0817"/>
    <w:rsid w:val="008E5ECF"/>
    <w:rsid w:val="008E632B"/>
    <w:rsid w:val="008E6662"/>
    <w:rsid w:val="008E67E9"/>
    <w:rsid w:val="008E6EFE"/>
    <w:rsid w:val="008E6F77"/>
    <w:rsid w:val="008E7029"/>
    <w:rsid w:val="008F0110"/>
    <w:rsid w:val="008F0845"/>
    <w:rsid w:val="008F49A9"/>
    <w:rsid w:val="008F57FE"/>
    <w:rsid w:val="00901012"/>
    <w:rsid w:val="009034DE"/>
    <w:rsid w:val="00905E4C"/>
    <w:rsid w:val="009076AD"/>
    <w:rsid w:val="009101BA"/>
    <w:rsid w:val="00911C69"/>
    <w:rsid w:val="0091422D"/>
    <w:rsid w:val="00921E8F"/>
    <w:rsid w:val="00921F90"/>
    <w:rsid w:val="00924171"/>
    <w:rsid w:val="0092472C"/>
    <w:rsid w:val="009258B1"/>
    <w:rsid w:val="00926BF6"/>
    <w:rsid w:val="00932018"/>
    <w:rsid w:val="00937232"/>
    <w:rsid w:val="00940342"/>
    <w:rsid w:val="00940447"/>
    <w:rsid w:val="00940CA1"/>
    <w:rsid w:val="00945012"/>
    <w:rsid w:val="009463DD"/>
    <w:rsid w:val="0095115D"/>
    <w:rsid w:val="00951EDB"/>
    <w:rsid w:val="009525DA"/>
    <w:rsid w:val="00953268"/>
    <w:rsid w:val="00953E2F"/>
    <w:rsid w:val="00953EBE"/>
    <w:rsid w:val="0095493D"/>
    <w:rsid w:val="009551C8"/>
    <w:rsid w:val="009577BD"/>
    <w:rsid w:val="00957C99"/>
    <w:rsid w:val="00960645"/>
    <w:rsid w:val="00960892"/>
    <w:rsid w:val="0096314C"/>
    <w:rsid w:val="00964890"/>
    <w:rsid w:val="00965CF4"/>
    <w:rsid w:val="009676EE"/>
    <w:rsid w:val="009701D3"/>
    <w:rsid w:val="00971454"/>
    <w:rsid w:val="00972511"/>
    <w:rsid w:val="009737FD"/>
    <w:rsid w:val="009739AA"/>
    <w:rsid w:val="009760B2"/>
    <w:rsid w:val="00976C8B"/>
    <w:rsid w:val="009777AF"/>
    <w:rsid w:val="00980C8C"/>
    <w:rsid w:val="00980F2B"/>
    <w:rsid w:val="00982314"/>
    <w:rsid w:val="00984377"/>
    <w:rsid w:val="00984C5F"/>
    <w:rsid w:val="00985820"/>
    <w:rsid w:val="00985984"/>
    <w:rsid w:val="00992B83"/>
    <w:rsid w:val="00992B8C"/>
    <w:rsid w:val="00995C5B"/>
    <w:rsid w:val="00995CFB"/>
    <w:rsid w:val="00997E28"/>
    <w:rsid w:val="009A2A87"/>
    <w:rsid w:val="009A4D4D"/>
    <w:rsid w:val="009A506F"/>
    <w:rsid w:val="009B1F94"/>
    <w:rsid w:val="009B208D"/>
    <w:rsid w:val="009B344E"/>
    <w:rsid w:val="009B407B"/>
    <w:rsid w:val="009B67D9"/>
    <w:rsid w:val="009C4D75"/>
    <w:rsid w:val="009C65E2"/>
    <w:rsid w:val="009D04FE"/>
    <w:rsid w:val="009D0562"/>
    <w:rsid w:val="009D0D1B"/>
    <w:rsid w:val="009D1AF5"/>
    <w:rsid w:val="009D3270"/>
    <w:rsid w:val="009D33F5"/>
    <w:rsid w:val="009D555F"/>
    <w:rsid w:val="009D5D22"/>
    <w:rsid w:val="009E1BB9"/>
    <w:rsid w:val="009E3B0F"/>
    <w:rsid w:val="009E48A9"/>
    <w:rsid w:val="009E4A28"/>
    <w:rsid w:val="009E4CD8"/>
    <w:rsid w:val="009E772B"/>
    <w:rsid w:val="009F0655"/>
    <w:rsid w:val="009F0EF8"/>
    <w:rsid w:val="009F20F0"/>
    <w:rsid w:val="009F39B6"/>
    <w:rsid w:val="009F415D"/>
    <w:rsid w:val="009F483A"/>
    <w:rsid w:val="009F63B5"/>
    <w:rsid w:val="009F6C55"/>
    <w:rsid w:val="00A016CB"/>
    <w:rsid w:val="00A024EF"/>
    <w:rsid w:val="00A03E36"/>
    <w:rsid w:val="00A04DB6"/>
    <w:rsid w:val="00A06F9E"/>
    <w:rsid w:val="00A10ACF"/>
    <w:rsid w:val="00A11211"/>
    <w:rsid w:val="00A15209"/>
    <w:rsid w:val="00A153CE"/>
    <w:rsid w:val="00A16D15"/>
    <w:rsid w:val="00A20481"/>
    <w:rsid w:val="00A23C1A"/>
    <w:rsid w:val="00A240D7"/>
    <w:rsid w:val="00A24501"/>
    <w:rsid w:val="00A26C45"/>
    <w:rsid w:val="00A26E28"/>
    <w:rsid w:val="00A314D1"/>
    <w:rsid w:val="00A344AD"/>
    <w:rsid w:val="00A40ADE"/>
    <w:rsid w:val="00A41C5B"/>
    <w:rsid w:val="00A43A09"/>
    <w:rsid w:val="00A43E23"/>
    <w:rsid w:val="00A465FA"/>
    <w:rsid w:val="00A467F3"/>
    <w:rsid w:val="00A46A40"/>
    <w:rsid w:val="00A46B82"/>
    <w:rsid w:val="00A527E4"/>
    <w:rsid w:val="00A550AB"/>
    <w:rsid w:val="00A6113C"/>
    <w:rsid w:val="00A61E3A"/>
    <w:rsid w:val="00A62158"/>
    <w:rsid w:val="00A63B83"/>
    <w:rsid w:val="00A666E1"/>
    <w:rsid w:val="00A70658"/>
    <w:rsid w:val="00A70AA8"/>
    <w:rsid w:val="00A716E1"/>
    <w:rsid w:val="00A71B73"/>
    <w:rsid w:val="00A71BA1"/>
    <w:rsid w:val="00A72F14"/>
    <w:rsid w:val="00A74286"/>
    <w:rsid w:val="00A74C15"/>
    <w:rsid w:val="00A74C7A"/>
    <w:rsid w:val="00A75F87"/>
    <w:rsid w:val="00A76538"/>
    <w:rsid w:val="00A80814"/>
    <w:rsid w:val="00A863A4"/>
    <w:rsid w:val="00A8662B"/>
    <w:rsid w:val="00A87AB8"/>
    <w:rsid w:val="00A916A5"/>
    <w:rsid w:val="00A930D0"/>
    <w:rsid w:val="00A93800"/>
    <w:rsid w:val="00A95BFE"/>
    <w:rsid w:val="00A9651A"/>
    <w:rsid w:val="00A979F3"/>
    <w:rsid w:val="00AA2DAA"/>
    <w:rsid w:val="00AB0865"/>
    <w:rsid w:val="00AB1115"/>
    <w:rsid w:val="00AB1C89"/>
    <w:rsid w:val="00AB2E90"/>
    <w:rsid w:val="00AB43CE"/>
    <w:rsid w:val="00AB4A48"/>
    <w:rsid w:val="00AB7751"/>
    <w:rsid w:val="00AC09CF"/>
    <w:rsid w:val="00AC0BD7"/>
    <w:rsid w:val="00AC67A6"/>
    <w:rsid w:val="00AD1D39"/>
    <w:rsid w:val="00AD2058"/>
    <w:rsid w:val="00AD4016"/>
    <w:rsid w:val="00AD680D"/>
    <w:rsid w:val="00AD70EC"/>
    <w:rsid w:val="00AE005B"/>
    <w:rsid w:val="00AE0063"/>
    <w:rsid w:val="00AE03BC"/>
    <w:rsid w:val="00AE103A"/>
    <w:rsid w:val="00AE15A9"/>
    <w:rsid w:val="00AE23CB"/>
    <w:rsid w:val="00AE31B4"/>
    <w:rsid w:val="00AE49CA"/>
    <w:rsid w:val="00AE628D"/>
    <w:rsid w:val="00AE6A88"/>
    <w:rsid w:val="00AE6CEE"/>
    <w:rsid w:val="00AE7959"/>
    <w:rsid w:val="00AF07B1"/>
    <w:rsid w:val="00AF0EAF"/>
    <w:rsid w:val="00AF2110"/>
    <w:rsid w:val="00AF3E98"/>
    <w:rsid w:val="00AF4FC1"/>
    <w:rsid w:val="00AF5705"/>
    <w:rsid w:val="00AF6421"/>
    <w:rsid w:val="00AF74D2"/>
    <w:rsid w:val="00AF7963"/>
    <w:rsid w:val="00AF7F0D"/>
    <w:rsid w:val="00B027F3"/>
    <w:rsid w:val="00B04314"/>
    <w:rsid w:val="00B049AD"/>
    <w:rsid w:val="00B05A4B"/>
    <w:rsid w:val="00B07C36"/>
    <w:rsid w:val="00B1122C"/>
    <w:rsid w:val="00B12874"/>
    <w:rsid w:val="00B16006"/>
    <w:rsid w:val="00B21F4C"/>
    <w:rsid w:val="00B22C2F"/>
    <w:rsid w:val="00B23099"/>
    <w:rsid w:val="00B2357F"/>
    <w:rsid w:val="00B24C30"/>
    <w:rsid w:val="00B25894"/>
    <w:rsid w:val="00B300EA"/>
    <w:rsid w:val="00B30836"/>
    <w:rsid w:val="00B33DEC"/>
    <w:rsid w:val="00B35C35"/>
    <w:rsid w:val="00B4010A"/>
    <w:rsid w:val="00B4263F"/>
    <w:rsid w:val="00B47A49"/>
    <w:rsid w:val="00B51AE2"/>
    <w:rsid w:val="00B51C11"/>
    <w:rsid w:val="00B52095"/>
    <w:rsid w:val="00B521B4"/>
    <w:rsid w:val="00B53EDA"/>
    <w:rsid w:val="00B5549A"/>
    <w:rsid w:val="00B60177"/>
    <w:rsid w:val="00B61085"/>
    <w:rsid w:val="00B63E90"/>
    <w:rsid w:val="00B65875"/>
    <w:rsid w:val="00B67877"/>
    <w:rsid w:val="00B70552"/>
    <w:rsid w:val="00B74EB7"/>
    <w:rsid w:val="00B7663E"/>
    <w:rsid w:val="00B7693B"/>
    <w:rsid w:val="00B7723C"/>
    <w:rsid w:val="00B80FD2"/>
    <w:rsid w:val="00B83795"/>
    <w:rsid w:val="00B925C1"/>
    <w:rsid w:val="00B93F5D"/>
    <w:rsid w:val="00B94A62"/>
    <w:rsid w:val="00B9776A"/>
    <w:rsid w:val="00BA07B3"/>
    <w:rsid w:val="00BA307A"/>
    <w:rsid w:val="00BA333C"/>
    <w:rsid w:val="00BA696B"/>
    <w:rsid w:val="00BB0C9D"/>
    <w:rsid w:val="00BB3227"/>
    <w:rsid w:val="00BB32D0"/>
    <w:rsid w:val="00BB7626"/>
    <w:rsid w:val="00BB77B4"/>
    <w:rsid w:val="00BC31F6"/>
    <w:rsid w:val="00BC322B"/>
    <w:rsid w:val="00BC41A5"/>
    <w:rsid w:val="00BC4CC8"/>
    <w:rsid w:val="00BC7826"/>
    <w:rsid w:val="00BD0B9A"/>
    <w:rsid w:val="00BD3DF5"/>
    <w:rsid w:val="00BD5704"/>
    <w:rsid w:val="00BD6950"/>
    <w:rsid w:val="00BD7E81"/>
    <w:rsid w:val="00BE17E6"/>
    <w:rsid w:val="00BF051D"/>
    <w:rsid w:val="00BF1BAE"/>
    <w:rsid w:val="00BF4527"/>
    <w:rsid w:val="00BF4629"/>
    <w:rsid w:val="00C001F2"/>
    <w:rsid w:val="00C01278"/>
    <w:rsid w:val="00C02D7D"/>
    <w:rsid w:val="00C03D42"/>
    <w:rsid w:val="00C0537E"/>
    <w:rsid w:val="00C05D29"/>
    <w:rsid w:val="00C079E7"/>
    <w:rsid w:val="00C116A3"/>
    <w:rsid w:val="00C11ED3"/>
    <w:rsid w:val="00C139FA"/>
    <w:rsid w:val="00C13F55"/>
    <w:rsid w:val="00C1404F"/>
    <w:rsid w:val="00C1545A"/>
    <w:rsid w:val="00C21555"/>
    <w:rsid w:val="00C22CEA"/>
    <w:rsid w:val="00C2605E"/>
    <w:rsid w:val="00C26A38"/>
    <w:rsid w:val="00C30C84"/>
    <w:rsid w:val="00C31A43"/>
    <w:rsid w:val="00C3281B"/>
    <w:rsid w:val="00C34EED"/>
    <w:rsid w:val="00C40922"/>
    <w:rsid w:val="00C42122"/>
    <w:rsid w:val="00C439A6"/>
    <w:rsid w:val="00C43C8C"/>
    <w:rsid w:val="00C44B17"/>
    <w:rsid w:val="00C45A57"/>
    <w:rsid w:val="00C47B50"/>
    <w:rsid w:val="00C50F97"/>
    <w:rsid w:val="00C529C5"/>
    <w:rsid w:val="00C52D9A"/>
    <w:rsid w:val="00C54C51"/>
    <w:rsid w:val="00C554FE"/>
    <w:rsid w:val="00C55825"/>
    <w:rsid w:val="00C606C1"/>
    <w:rsid w:val="00C63267"/>
    <w:rsid w:val="00C63612"/>
    <w:rsid w:val="00C63812"/>
    <w:rsid w:val="00C63D21"/>
    <w:rsid w:val="00C645BF"/>
    <w:rsid w:val="00C647A6"/>
    <w:rsid w:val="00C648D9"/>
    <w:rsid w:val="00C7102C"/>
    <w:rsid w:val="00C72DFD"/>
    <w:rsid w:val="00C73249"/>
    <w:rsid w:val="00C7466C"/>
    <w:rsid w:val="00C7574D"/>
    <w:rsid w:val="00C771B1"/>
    <w:rsid w:val="00C80412"/>
    <w:rsid w:val="00C8200B"/>
    <w:rsid w:val="00C8444B"/>
    <w:rsid w:val="00C846A9"/>
    <w:rsid w:val="00C87B4E"/>
    <w:rsid w:val="00C90AA4"/>
    <w:rsid w:val="00C91734"/>
    <w:rsid w:val="00C92561"/>
    <w:rsid w:val="00C92DC8"/>
    <w:rsid w:val="00C93C12"/>
    <w:rsid w:val="00C9435C"/>
    <w:rsid w:val="00C950F3"/>
    <w:rsid w:val="00C95838"/>
    <w:rsid w:val="00C96D97"/>
    <w:rsid w:val="00CA4815"/>
    <w:rsid w:val="00CA51C7"/>
    <w:rsid w:val="00CA6BF9"/>
    <w:rsid w:val="00CB19B1"/>
    <w:rsid w:val="00CB2CEA"/>
    <w:rsid w:val="00CB6072"/>
    <w:rsid w:val="00CB60A7"/>
    <w:rsid w:val="00CB6658"/>
    <w:rsid w:val="00CB7D81"/>
    <w:rsid w:val="00CC0550"/>
    <w:rsid w:val="00CC2187"/>
    <w:rsid w:val="00CC3036"/>
    <w:rsid w:val="00CC35EC"/>
    <w:rsid w:val="00CC6F3E"/>
    <w:rsid w:val="00CC7396"/>
    <w:rsid w:val="00CD33FD"/>
    <w:rsid w:val="00CD3653"/>
    <w:rsid w:val="00CD4FF0"/>
    <w:rsid w:val="00CD7DE6"/>
    <w:rsid w:val="00CE14BA"/>
    <w:rsid w:val="00CE33F5"/>
    <w:rsid w:val="00CE4429"/>
    <w:rsid w:val="00CE5B52"/>
    <w:rsid w:val="00CE6281"/>
    <w:rsid w:val="00CE7A53"/>
    <w:rsid w:val="00CF0EF9"/>
    <w:rsid w:val="00CF26EE"/>
    <w:rsid w:val="00CF322E"/>
    <w:rsid w:val="00CF43FA"/>
    <w:rsid w:val="00CF4B63"/>
    <w:rsid w:val="00CF584E"/>
    <w:rsid w:val="00CF618E"/>
    <w:rsid w:val="00CF6979"/>
    <w:rsid w:val="00CF7201"/>
    <w:rsid w:val="00D00F5E"/>
    <w:rsid w:val="00D02C5E"/>
    <w:rsid w:val="00D05C06"/>
    <w:rsid w:val="00D068B8"/>
    <w:rsid w:val="00D100E2"/>
    <w:rsid w:val="00D11DA4"/>
    <w:rsid w:val="00D121E4"/>
    <w:rsid w:val="00D1538F"/>
    <w:rsid w:val="00D1782E"/>
    <w:rsid w:val="00D2099F"/>
    <w:rsid w:val="00D2280D"/>
    <w:rsid w:val="00D24C77"/>
    <w:rsid w:val="00D25A31"/>
    <w:rsid w:val="00D2731A"/>
    <w:rsid w:val="00D27504"/>
    <w:rsid w:val="00D2750A"/>
    <w:rsid w:val="00D320A5"/>
    <w:rsid w:val="00D32486"/>
    <w:rsid w:val="00D3483E"/>
    <w:rsid w:val="00D41120"/>
    <w:rsid w:val="00D42BAC"/>
    <w:rsid w:val="00D43945"/>
    <w:rsid w:val="00D46E41"/>
    <w:rsid w:val="00D506AB"/>
    <w:rsid w:val="00D51AAF"/>
    <w:rsid w:val="00D52480"/>
    <w:rsid w:val="00D52B47"/>
    <w:rsid w:val="00D52CD2"/>
    <w:rsid w:val="00D55B4A"/>
    <w:rsid w:val="00D56C1F"/>
    <w:rsid w:val="00D62B69"/>
    <w:rsid w:val="00D636EE"/>
    <w:rsid w:val="00D6422C"/>
    <w:rsid w:val="00D6492A"/>
    <w:rsid w:val="00D656D2"/>
    <w:rsid w:val="00D661DE"/>
    <w:rsid w:val="00D70A45"/>
    <w:rsid w:val="00D70DFF"/>
    <w:rsid w:val="00D71531"/>
    <w:rsid w:val="00D71D01"/>
    <w:rsid w:val="00D72F91"/>
    <w:rsid w:val="00D74D13"/>
    <w:rsid w:val="00D75758"/>
    <w:rsid w:val="00D7623F"/>
    <w:rsid w:val="00D76B86"/>
    <w:rsid w:val="00D76F00"/>
    <w:rsid w:val="00D8094E"/>
    <w:rsid w:val="00D80D1B"/>
    <w:rsid w:val="00D821D1"/>
    <w:rsid w:val="00D848FD"/>
    <w:rsid w:val="00D84988"/>
    <w:rsid w:val="00D94B1B"/>
    <w:rsid w:val="00D94E82"/>
    <w:rsid w:val="00D96C59"/>
    <w:rsid w:val="00D9719D"/>
    <w:rsid w:val="00DA0A21"/>
    <w:rsid w:val="00DA0A6F"/>
    <w:rsid w:val="00DA3B0F"/>
    <w:rsid w:val="00DA408C"/>
    <w:rsid w:val="00DA51E9"/>
    <w:rsid w:val="00DB0042"/>
    <w:rsid w:val="00DB0EF9"/>
    <w:rsid w:val="00DC243F"/>
    <w:rsid w:val="00DC3789"/>
    <w:rsid w:val="00DC5485"/>
    <w:rsid w:val="00DC64FD"/>
    <w:rsid w:val="00DD0636"/>
    <w:rsid w:val="00DD3581"/>
    <w:rsid w:val="00DD499F"/>
    <w:rsid w:val="00DD5FA2"/>
    <w:rsid w:val="00DD6687"/>
    <w:rsid w:val="00DD7957"/>
    <w:rsid w:val="00DE2C21"/>
    <w:rsid w:val="00DE4A0B"/>
    <w:rsid w:val="00DE5C2E"/>
    <w:rsid w:val="00DF02A5"/>
    <w:rsid w:val="00DF2327"/>
    <w:rsid w:val="00DF30E8"/>
    <w:rsid w:val="00DF51F5"/>
    <w:rsid w:val="00DF64F4"/>
    <w:rsid w:val="00E0340C"/>
    <w:rsid w:val="00E034CB"/>
    <w:rsid w:val="00E03C16"/>
    <w:rsid w:val="00E10DA2"/>
    <w:rsid w:val="00E11CCA"/>
    <w:rsid w:val="00E120C1"/>
    <w:rsid w:val="00E1664E"/>
    <w:rsid w:val="00E17391"/>
    <w:rsid w:val="00E21D4B"/>
    <w:rsid w:val="00E22113"/>
    <w:rsid w:val="00E22A5D"/>
    <w:rsid w:val="00E231B9"/>
    <w:rsid w:val="00E266F2"/>
    <w:rsid w:val="00E27A69"/>
    <w:rsid w:val="00E306AE"/>
    <w:rsid w:val="00E40D22"/>
    <w:rsid w:val="00E41D6A"/>
    <w:rsid w:val="00E43C04"/>
    <w:rsid w:val="00E455BD"/>
    <w:rsid w:val="00E47457"/>
    <w:rsid w:val="00E500BC"/>
    <w:rsid w:val="00E53DB0"/>
    <w:rsid w:val="00E54B15"/>
    <w:rsid w:val="00E57972"/>
    <w:rsid w:val="00E60842"/>
    <w:rsid w:val="00E60FBD"/>
    <w:rsid w:val="00E62996"/>
    <w:rsid w:val="00E6374A"/>
    <w:rsid w:val="00E71594"/>
    <w:rsid w:val="00E715BB"/>
    <w:rsid w:val="00E72801"/>
    <w:rsid w:val="00E73CBA"/>
    <w:rsid w:val="00E755A8"/>
    <w:rsid w:val="00E75F5D"/>
    <w:rsid w:val="00E76438"/>
    <w:rsid w:val="00E77793"/>
    <w:rsid w:val="00E77CE4"/>
    <w:rsid w:val="00E811C4"/>
    <w:rsid w:val="00E82B30"/>
    <w:rsid w:val="00E8333E"/>
    <w:rsid w:val="00E8429F"/>
    <w:rsid w:val="00E849D7"/>
    <w:rsid w:val="00E85703"/>
    <w:rsid w:val="00E86A9E"/>
    <w:rsid w:val="00E86BA0"/>
    <w:rsid w:val="00E8743B"/>
    <w:rsid w:val="00E94CA8"/>
    <w:rsid w:val="00E94D63"/>
    <w:rsid w:val="00E95F70"/>
    <w:rsid w:val="00E968E9"/>
    <w:rsid w:val="00E9790B"/>
    <w:rsid w:val="00EA09F7"/>
    <w:rsid w:val="00EA0B25"/>
    <w:rsid w:val="00EA38C6"/>
    <w:rsid w:val="00EA38E1"/>
    <w:rsid w:val="00EA52ED"/>
    <w:rsid w:val="00EA544E"/>
    <w:rsid w:val="00EA7CE1"/>
    <w:rsid w:val="00EB2C99"/>
    <w:rsid w:val="00EB523D"/>
    <w:rsid w:val="00EB6D17"/>
    <w:rsid w:val="00EB70F8"/>
    <w:rsid w:val="00EC3ADE"/>
    <w:rsid w:val="00EC4D3B"/>
    <w:rsid w:val="00EC6C6E"/>
    <w:rsid w:val="00ED0D7A"/>
    <w:rsid w:val="00ED1D4D"/>
    <w:rsid w:val="00ED366B"/>
    <w:rsid w:val="00ED742A"/>
    <w:rsid w:val="00EE165E"/>
    <w:rsid w:val="00EE3B3D"/>
    <w:rsid w:val="00EE49BB"/>
    <w:rsid w:val="00EE4ED9"/>
    <w:rsid w:val="00EE5741"/>
    <w:rsid w:val="00EE75B9"/>
    <w:rsid w:val="00EF1113"/>
    <w:rsid w:val="00EF1F7C"/>
    <w:rsid w:val="00EF2AAB"/>
    <w:rsid w:val="00EF3FAC"/>
    <w:rsid w:val="00EF564A"/>
    <w:rsid w:val="00EF7533"/>
    <w:rsid w:val="00F03289"/>
    <w:rsid w:val="00F03A05"/>
    <w:rsid w:val="00F0733C"/>
    <w:rsid w:val="00F1134A"/>
    <w:rsid w:val="00F11542"/>
    <w:rsid w:val="00F12953"/>
    <w:rsid w:val="00F145F9"/>
    <w:rsid w:val="00F16D38"/>
    <w:rsid w:val="00F174AE"/>
    <w:rsid w:val="00F2040E"/>
    <w:rsid w:val="00F222AD"/>
    <w:rsid w:val="00F22671"/>
    <w:rsid w:val="00F246F5"/>
    <w:rsid w:val="00F2516E"/>
    <w:rsid w:val="00F27A1B"/>
    <w:rsid w:val="00F27A76"/>
    <w:rsid w:val="00F27DFF"/>
    <w:rsid w:val="00F30EFE"/>
    <w:rsid w:val="00F30F9E"/>
    <w:rsid w:val="00F31BDE"/>
    <w:rsid w:val="00F32968"/>
    <w:rsid w:val="00F366F8"/>
    <w:rsid w:val="00F375C1"/>
    <w:rsid w:val="00F37B10"/>
    <w:rsid w:val="00F37EF5"/>
    <w:rsid w:val="00F4040B"/>
    <w:rsid w:val="00F4099F"/>
    <w:rsid w:val="00F40B5B"/>
    <w:rsid w:val="00F446A2"/>
    <w:rsid w:val="00F44E4B"/>
    <w:rsid w:val="00F46314"/>
    <w:rsid w:val="00F5160B"/>
    <w:rsid w:val="00F52A9E"/>
    <w:rsid w:val="00F52B34"/>
    <w:rsid w:val="00F54959"/>
    <w:rsid w:val="00F56351"/>
    <w:rsid w:val="00F5661B"/>
    <w:rsid w:val="00F62721"/>
    <w:rsid w:val="00F63605"/>
    <w:rsid w:val="00F64397"/>
    <w:rsid w:val="00F64B17"/>
    <w:rsid w:val="00F64F4F"/>
    <w:rsid w:val="00F67119"/>
    <w:rsid w:val="00F67318"/>
    <w:rsid w:val="00F70000"/>
    <w:rsid w:val="00F7556E"/>
    <w:rsid w:val="00F767A3"/>
    <w:rsid w:val="00F76E7D"/>
    <w:rsid w:val="00F76F5E"/>
    <w:rsid w:val="00F7735E"/>
    <w:rsid w:val="00F8233D"/>
    <w:rsid w:val="00F85C05"/>
    <w:rsid w:val="00F871AC"/>
    <w:rsid w:val="00F90250"/>
    <w:rsid w:val="00F919FA"/>
    <w:rsid w:val="00F921EC"/>
    <w:rsid w:val="00F9223F"/>
    <w:rsid w:val="00F92E7B"/>
    <w:rsid w:val="00F96080"/>
    <w:rsid w:val="00FA07A1"/>
    <w:rsid w:val="00FA0946"/>
    <w:rsid w:val="00FA108E"/>
    <w:rsid w:val="00FA1C46"/>
    <w:rsid w:val="00FA218A"/>
    <w:rsid w:val="00FA22D3"/>
    <w:rsid w:val="00FA3306"/>
    <w:rsid w:val="00FA4C3C"/>
    <w:rsid w:val="00FA5E99"/>
    <w:rsid w:val="00FA777C"/>
    <w:rsid w:val="00FB068F"/>
    <w:rsid w:val="00FB1E0C"/>
    <w:rsid w:val="00FB277E"/>
    <w:rsid w:val="00FB281B"/>
    <w:rsid w:val="00FB41B8"/>
    <w:rsid w:val="00FB66E6"/>
    <w:rsid w:val="00FC0633"/>
    <w:rsid w:val="00FC1106"/>
    <w:rsid w:val="00FC2041"/>
    <w:rsid w:val="00FC5A5E"/>
    <w:rsid w:val="00FC7972"/>
    <w:rsid w:val="00FD20F5"/>
    <w:rsid w:val="00FD2C22"/>
    <w:rsid w:val="00FD332F"/>
    <w:rsid w:val="00FD60CC"/>
    <w:rsid w:val="00FE3FD8"/>
    <w:rsid w:val="00FE5614"/>
    <w:rsid w:val="00FE773D"/>
    <w:rsid w:val="00FF2121"/>
    <w:rsid w:val="00FF29E5"/>
    <w:rsid w:val="00FF6EC1"/>
    <w:rsid w:val="00FF7A0A"/>
    <w:rsid w:val="017F3875"/>
    <w:rsid w:val="03E51648"/>
    <w:rsid w:val="0BC20DD4"/>
    <w:rsid w:val="29105B6E"/>
    <w:rsid w:val="3FCA45C1"/>
    <w:rsid w:val="5C0B7079"/>
    <w:rsid w:val="649C5E4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2"/>
    <w:qFormat/>
    <w:uiPriority w:val="0"/>
    <w:pPr>
      <w:adjustRightInd w:val="0"/>
      <w:snapToGrid w:val="0"/>
      <w:spacing w:line="353" w:lineRule="auto"/>
      <w:ind w:firstLine="576" w:firstLineChars="200"/>
      <w:outlineLvl w:val="0"/>
    </w:pPr>
    <w:rPr>
      <w:rFonts w:ascii="Times New Roman" w:hAnsi="Times New Roman" w:eastAsia="黑体" w:cs="Times New Roman"/>
      <w:kern w:val="0"/>
      <w:sz w:val="20"/>
      <w:szCs w:val="20"/>
    </w:rPr>
  </w:style>
  <w:style w:type="paragraph" w:styleId="3">
    <w:name w:val="heading 2"/>
    <w:basedOn w:val="1"/>
    <w:next w:val="1"/>
    <w:link w:val="33"/>
    <w:qFormat/>
    <w:uiPriority w:val="0"/>
    <w:pPr>
      <w:keepNext/>
      <w:keepLines/>
      <w:numPr>
        <w:ilvl w:val="0"/>
        <w:numId w:val="1"/>
      </w:numPr>
      <w:spacing w:before="260" w:after="260" w:line="416" w:lineRule="auto"/>
      <w:outlineLvl w:val="1"/>
    </w:pPr>
    <w:rPr>
      <w:rFonts w:ascii="Arial" w:hAnsi="Arial" w:eastAsia="黑体"/>
      <w:b/>
      <w:bCs/>
      <w:sz w:val="32"/>
      <w:szCs w:val="32"/>
    </w:rPr>
  </w:style>
  <w:style w:type="paragraph" w:styleId="4">
    <w:name w:val="heading 3"/>
    <w:basedOn w:val="1"/>
    <w:next w:val="1"/>
    <w:link w:val="23"/>
    <w:qFormat/>
    <w:uiPriority w:val="0"/>
    <w:pPr>
      <w:adjustRightInd w:val="0"/>
      <w:snapToGrid w:val="0"/>
      <w:spacing w:line="353" w:lineRule="auto"/>
      <w:ind w:firstLine="624" w:firstLineChars="200"/>
      <w:outlineLvl w:val="2"/>
    </w:pPr>
    <w:rPr>
      <w:rFonts w:ascii="Times New Roman" w:hAnsi="Times New Roman" w:eastAsia="仿宋_GB2312" w:cs="Times New Roman"/>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5">
    <w:name w:val="annotation text"/>
    <w:basedOn w:val="1"/>
    <w:link w:val="24"/>
    <w:semiHidden/>
    <w:unhideWhenUsed/>
    <w:qFormat/>
    <w:uiPriority w:val="99"/>
    <w:pPr>
      <w:jc w:val="left"/>
    </w:pPr>
  </w:style>
  <w:style w:type="paragraph" w:styleId="6">
    <w:name w:val="Body Text Indent"/>
    <w:basedOn w:val="1"/>
    <w:link w:val="25"/>
    <w:qFormat/>
    <w:uiPriority w:val="0"/>
    <w:pPr>
      <w:ind w:left="720" w:leftChars="343" w:firstLine="420" w:firstLineChars="200"/>
    </w:pPr>
    <w:rPr>
      <w:rFonts w:ascii="Times New Roman" w:hAnsi="Times New Roman"/>
      <w:szCs w:val="24"/>
    </w:rPr>
  </w:style>
  <w:style w:type="paragraph" w:styleId="7">
    <w:name w:val="Date"/>
    <w:basedOn w:val="1"/>
    <w:next w:val="1"/>
    <w:link w:val="26"/>
    <w:qFormat/>
    <w:uiPriority w:val="0"/>
    <w:pPr>
      <w:snapToGrid w:val="0"/>
      <w:spacing w:line="300" w:lineRule="auto"/>
    </w:pPr>
    <w:rPr>
      <w:rFonts w:ascii="宋体" w:hAnsi="宋体" w:eastAsia="宋体" w:cs="Times New Roman"/>
      <w:sz w:val="24"/>
      <w:szCs w:val="20"/>
    </w:rPr>
  </w:style>
  <w:style w:type="paragraph" w:styleId="8">
    <w:name w:val="Balloon Text"/>
    <w:basedOn w:val="1"/>
    <w:link w:val="27"/>
    <w:semiHidden/>
    <w:unhideWhenUsed/>
    <w:qFormat/>
    <w:uiPriority w:val="99"/>
    <w:rPr>
      <w:sz w:val="18"/>
      <w:szCs w:val="18"/>
    </w:rPr>
  </w:style>
  <w:style w:type="paragraph" w:styleId="9">
    <w:name w:val="footer"/>
    <w:basedOn w:val="1"/>
    <w:link w:val="20"/>
    <w:unhideWhenUsed/>
    <w:qFormat/>
    <w:uiPriority w:val="99"/>
    <w:pPr>
      <w:tabs>
        <w:tab w:val="center" w:pos="4153"/>
        <w:tab w:val="right" w:pos="8306"/>
      </w:tabs>
      <w:snapToGrid w:val="0"/>
      <w:jc w:val="left"/>
    </w:pPr>
    <w:rPr>
      <w:sz w:val="18"/>
      <w:szCs w:val="18"/>
    </w:rPr>
  </w:style>
  <w:style w:type="paragraph" w:styleId="10">
    <w:name w:val="header"/>
    <w:basedOn w:val="1"/>
    <w:link w:val="19"/>
    <w:unhideWhenUsed/>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qFormat/>
    <w:uiPriority w:val="0"/>
    <w:pPr>
      <w:spacing w:beforeAutospacing="1" w:afterAutospacing="1"/>
      <w:jc w:val="left"/>
    </w:pPr>
    <w:rPr>
      <w:rFonts w:cs="Times New Roman"/>
      <w:kern w:val="0"/>
      <w:sz w:val="24"/>
    </w:rPr>
  </w:style>
  <w:style w:type="paragraph" w:styleId="12">
    <w:name w:val="annotation subject"/>
    <w:basedOn w:val="5"/>
    <w:next w:val="5"/>
    <w:link w:val="28"/>
    <w:semiHidden/>
    <w:unhideWhenUsed/>
    <w:qFormat/>
    <w:uiPriority w:val="99"/>
    <w:rPr>
      <w:b/>
      <w:bCs/>
    </w:rPr>
  </w:style>
  <w:style w:type="table" w:styleId="14">
    <w:name w:val="Table Grid"/>
    <w:basedOn w:val="13"/>
    <w:qFormat/>
    <w:uiPriority w:val="59"/>
    <w:rPr>
      <w:rFonts w:ascii="Times New Roman" w:hAnsi="Times New Roman" w:eastAsia="宋体" w:cs="Times New Roman"/>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page number"/>
    <w:basedOn w:val="15"/>
    <w:qFormat/>
    <w:uiPriority w:val="0"/>
  </w:style>
  <w:style w:type="character" w:styleId="17">
    <w:name w:val="Hyperlink"/>
    <w:basedOn w:val="15"/>
    <w:semiHidden/>
    <w:unhideWhenUsed/>
    <w:qFormat/>
    <w:uiPriority w:val="99"/>
    <w:rPr>
      <w:color w:val="0563C1" w:themeColor="hyperlink"/>
      <w:u w:val="single"/>
      <w14:textFill>
        <w14:solidFill>
          <w14:schemeClr w14:val="hlink"/>
        </w14:solidFill>
      </w14:textFill>
    </w:rPr>
  </w:style>
  <w:style w:type="character" w:styleId="18">
    <w:name w:val="annotation reference"/>
    <w:basedOn w:val="15"/>
    <w:semiHidden/>
    <w:unhideWhenUsed/>
    <w:qFormat/>
    <w:uiPriority w:val="99"/>
    <w:rPr>
      <w:sz w:val="21"/>
      <w:szCs w:val="21"/>
    </w:rPr>
  </w:style>
  <w:style w:type="character" w:customStyle="1" w:styleId="19">
    <w:name w:val="页眉 字符"/>
    <w:basedOn w:val="15"/>
    <w:link w:val="10"/>
    <w:qFormat/>
    <w:uiPriority w:val="99"/>
    <w:rPr>
      <w:sz w:val="18"/>
      <w:szCs w:val="18"/>
    </w:rPr>
  </w:style>
  <w:style w:type="character" w:customStyle="1" w:styleId="20">
    <w:name w:val="页脚 字符"/>
    <w:basedOn w:val="15"/>
    <w:link w:val="9"/>
    <w:qFormat/>
    <w:uiPriority w:val="99"/>
    <w:rPr>
      <w:sz w:val="18"/>
      <w:szCs w:val="18"/>
    </w:rPr>
  </w:style>
  <w:style w:type="character" w:customStyle="1" w:styleId="21">
    <w:name w:val="标题 1 字符"/>
    <w:basedOn w:val="15"/>
    <w:qFormat/>
    <w:uiPriority w:val="9"/>
    <w:rPr>
      <w:b/>
      <w:bCs/>
      <w:kern w:val="44"/>
      <w:sz w:val="44"/>
      <w:szCs w:val="44"/>
    </w:rPr>
  </w:style>
  <w:style w:type="character" w:customStyle="1" w:styleId="22">
    <w:name w:val="标题 2 字符"/>
    <w:basedOn w:val="15"/>
    <w:semiHidden/>
    <w:qFormat/>
    <w:uiPriority w:val="9"/>
    <w:rPr>
      <w:rFonts w:asciiTheme="majorHAnsi" w:hAnsiTheme="majorHAnsi" w:eastAsiaTheme="majorEastAsia" w:cstheme="majorBidi"/>
      <w:b/>
      <w:bCs/>
      <w:sz w:val="32"/>
      <w:szCs w:val="32"/>
    </w:rPr>
  </w:style>
  <w:style w:type="character" w:customStyle="1" w:styleId="23">
    <w:name w:val="标题 3 字符"/>
    <w:basedOn w:val="15"/>
    <w:link w:val="4"/>
    <w:qFormat/>
    <w:uiPriority w:val="0"/>
    <w:rPr>
      <w:rFonts w:ascii="Times New Roman" w:hAnsi="Times New Roman" w:eastAsia="仿宋_GB2312" w:cs="Times New Roman"/>
      <w:b/>
      <w:bCs/>
      <w:sz w:val="32"/>
      <w:szCs w:val="32"/>
    </w:rPr>
  </w:style>
  <w:style w:type="character" w:customStyle="1" w:styleId="24">
    <w:name w:val="批注文字 字符"/>
    <w:basedOn w:val="15"/>
    <w:link w:val="5"/>
    <w:semiHidden/>
    <w:qFormat/>
    <w:uiPriority w:val="99"/>
  </w:style>
  <w:style w:type="character" w:customStyle="1" w:styleId="25">
    <w:name w:val="正文文本缩进 字符"/>
    <w:basedOn w:val="15"/>
    <w:link w:val="6"/>
    <w:qFormat/>
    <w:uiPriority w:val="0"/>
    <w:rPr>
      <w:rFonts w:ascii="Times New Roman" w:hAnsi="Times New Roman"/>
      <w:szCs w:val="24"/>
    </w:rPr>
  </w:style>
  <w:style w:type="character" w:customStyle="1" w:styleId="26">
    <w:name w:val="日期 字符"/>
    <w:basedOn w:val="15"/>
    <w:link w:val="7"/>
    <w:qFormat/>
    <w:uiPriority w:val="0"/>
    <w:rPr>
      <w:rFonts w:ascii="宋体" w:hAnsi="宋体" w:eastAsia="宋体" w:cs="Times New Roman"/>
      <w:sz w:val="24"/>
      <w:szCs w:val="20"/>
    </w:rPr>
  </w:style>
  <w:style w:type="character" w:customStyle="1" w:styleId="27">
    <w:name w:val="批注框文本 字符"/>
    <w:basedOn w:val="15"/>
    <w:link w:val="8"/>
    <w:semiHidden/>
    <w:qFormat/>
    <w:uiPriority w:val="99"/>
    <w:rPr>
      <w:sz w:val="18"/>
      <w:szCs w:val="18"/>
    </w:rPr>
  </w:style>
  <w:style w:type="character" w:customStyle="1" w:styleId="28">
    <w:name w:val="批注主题 字符"/>
    <w:basedOn w:val="24"/>
    <w:link w:val="12"/>
    <w:semiHidden/>
    <w:qFormat/>
    <w:uiPriority w:val="99"/>
    <w:rPr>
      <w:b/>
      <w:bCs/>
    </w:rPr>
  </w:style>
  <w:style w:type="character" w:customStyle="1" w:styleId="29">
    <w:name w:val="超链接1"/>
    <w:basedOn w:val="15"/>
    <w:unhideWhenUsed/>
    <w:qFormat/>
    <w:uiPriority w:val="99"/>
    <w:rPr>
      <w:color w:val="0000FF"/>
      <w:u w:val="single"/>
    </w:rPr>
  </w:style>
  <w:style w:type="paragraph" w:styleId="30">
    <w:name w:val="List Paragraph"/>
    <w:basedOn w:val="1"/>
    <w:qFormat/>
    <w:uiPriority w:val="34"/>
    <w:pPr>
      <w:ind w:firstLine="420" w:firstLineChars="200"/>
    </w:pPr>
  </w:style>
  <w:style w:type="paragraph" w:customStyle="1" w:styleId="31">
    <w:name w:val="Default"/>
    <w:qFormat/>
    <w:uiPriority w:val="0"/>
    <w:pPr>
      <w:widowControl w:val="0"/>
      <w:autoSpaceDE w:val="0"/>
      <w:autoSpaceDN w:val="0"/>
      <w:adjustRightInd w:val="0"/>
    </w:pPr>
    <w:rPr>
      <w:rFonts w:ascii="黑体" w:eastAsia="黑体" w:cs="黑体" w:hAnsiTheme="minorHAnsi"/>
      <w:color w:val="000000"/>
      <w:sz w:val="24"/>
      <w:szCs w:val="24"/>
      <w:lang w:val="en-US" w:eastAsia="zh-CN" w:bidi="ar-SA"/>
    </w:rPr>
  </w:style>
  <w:style w:type="character" w:customStyle="1" w:styleId="32">
    <w:name w:val="标题 1 字符1"/>
    <w:link w:val="2"/>
    <w:qFormat/>
    <w:uiPriority w:val="0"/>
    <w:rPr>
      <w:rFonts w:ascii="Times New Roman" w:hAnsi="Times New Roman" w:eastAsia="黑体" w:cs="Times New Roman"/>
      <w:kern w:val="0"/>
      <w:sz w:val="20"/>
      <w:szCs w:val="20"/>
    </w:rPr>
  </w:style>
  <w:style w:type="character" w:customStyle="1" w:styleId="33">
    <w:name w:val="标题 2 字符1"/>
    <w:link w:val="3"/>
    <w:qFormat/>
    <w:uiPriority w:val="0"/>
    <w:rPr>
      <w:rFonts w:ascii="Arial" w:hAnsi="Arial" w:eastAsia="黑体"/>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2.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33ACC9F3-4948-417C-9E5C-B425DCCE6760}">
  <ds:schemaRefs/>
</ds:datastoreItem>
</file>

<file path=docProps/app.xml><?xml version="1.0" encoding="utf-8"?>
<Properties xmlns="http://schemas.openxmlformats.org/officeDocument/2006/extended-properties" xmlns:vt="http://schemas.openxmlformats.org/officeDocument/2006/docPropsVTypes">
  <Template>Normal.dotm</Template>
  <Company>微软中国</Company>
  <Pages>24</Pages>
  <Words>2964</Words>
  <Characters>16900</Characters>
  <Lines>140</Lines>
  <Paragraphs>39</Paragraphs>
  <TotalTime>71</TotalTime>
  <ScaleCrop>false</ScaleCrop>
  <LinksUpToDate>false</LinksUpToDate>
  <CharactersWithSpaces>19825</CharactersWithSpaces>
  <Application>WPS Office_11.8.2.10321_F1E327BC-269C-435d-A152-05C5408002CA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2020-04-30T01:38:00Z</dcterms:created>
  <dc:creator>刘宇明</dc:creator>
  <cp:lastModifiedBy>Administrator</cp:lastModifiedBy>
  <dcterms:modified xsi:type="dcterms:W3CDTF">2021-08-03T01:58:43Z</dcterms:modified>
  <cp:revision>502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2052-11.8.2.10321</vt:lpwstr>
  </property>
  <property fmtid="{D5CDD505-2E9C-101B-9397-08002B2CF9AE}" pid="3" name="ICV">
    <vt:lpwstr>2FDF0EAC971D4561B5E108B23522C63A</vt:lpwstr>
  </property>
</Properties>
</file>